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C5A19" w14:textId="3D78EF6C" w:rsidR="00A14A33" w:rsidRDefault="00000000" w:rsidP="008D63DF">
      <w:pPr>
        <w:pBdr>
          <w:top w:val="none" w:sz="0" w:space="0" w:color="000000"/>
          <w:left w:val="none" w:sz="0" w:space="0" w:color="000000"/>
          <w:bottom w:val="none" w:sz="0" w:space="0" w:color="000000"/>
          <w:right w:val="none" w:sz="0" w:space="0" w:color="000000"/>
          <w:between w:val="none" w:sz="0" w:space="0" w:color="000000"/>
        </w:pBdr>
        <w:shd w:val="clear" w:color="auto" w:fill="DAEEF3"/>
        <w:spacing w:after="0" w:line="240" w:lineRule="auto"/>
        <w:jc w:val="center"/>
        <w:rPr>
          <w:rFonts w:ascii="Arial" w:eastAsia="Arial" w:hAnsi="Arial" w:cs="Arial"/>
          <w:b/>
          <w:sz w:val="32"/>
          <w:szCs w:val="32"/>
        </w:rPr>
      </w:pPr>
      <w:r>
        <w:rPr>
          <w:rFonts w:ascii="Arial" w:eastAsia="Arial" w:hAnsi="Arial" w:cs="Arial"/>
          <w:b/>
          <w:sz w:val="32"/>
          <w:szCs w:val="32"/>
        </w:rPr>
        <w:t xml:space="preserve">Sciences de gestion </w:t>
      </w:r>
      <w:r w:rsidR="00C0791C">
        <w:rPr>
          <w:rFonts w:ascii="Arial" w:eastAsia="Arial" w:hAnsi="Arial" w:cs="Arial"/>
          <w:b/>
          <w:sz w:val="32"/>
          <w:szCs w:val="32"/>
        </w:rPr>
        <w:t xml:space="preserve">et numérique / </w:t>
      </w:r>
      <w:r w:rsidR="00C0791C">
        <w:rPr>
          <w:rFonts w:ascii="Arial" w:eastAsia="Arial" w:hAnsi="Arial" w:cs="Arial"/>
          <w:b/>
          <w:sz w:val="32"/>
          <w:szCs w:val="32"/>
        </w:rPr>
        <w:t>Mathématiques</w:t>
      </w:r>
      <w:r w:rsidR="00C0791C">
        <w:rPr>
          <w:rFonts w:ascii="Arial" w:eastAsia="Arial" w:hAnsi="Arial" w:cs="Arial"/>
          <w:b/>
          <w:sz w:val="32"/>
          <w:szCs w:val="32"/>
        </w:rPr>
        <w:t xml:space="preserve"> </w:t>
      </w:r>
      <w:r>
        <w:rPr>
          <w:rFonts w:ascii="Arial" w:eastAsia="Arial" w:hAnsi="Arial" w:cs="Arial"/>
          <w:b/>
          <w:sz w:val="32"/>
          <w:szCs w:val="32"/>
        </w:rPr>
        <w:t>: Le cas Ubisoft</w:t>
      </w:r>
    </w:p>
    <w:p w14:paraId="6FDF3541" w14:textId="70D0EE80" w:rsidR="008D63DF" w:rsidRDefault="008D63DF" w:rsidP="008D63DF">
      <w:pPr>
        <w:pBdr>
          <w:top w:val="none" w:sz="0" w:space="0" w:color="000000"/>
          <w:left w:val="none" w:sz="0" w:space="0" w:color="000000"/>
          <w:bottom w:val="none" w:sz="0" w:space="0" w:color="000000"/>
          <w:right w:val="none" w:sz="0" w:space="0" w:color="000000"/>
          <w:between w:val="none" w:sz="0" w:space="0" w:color="000000"/>
        </w:pBdr>
        <w:shd w:val="clear" w:color="auto" w:fill="DAEEF3"/>
        <w:spacing w:after="0" w:line="240" w:lineRule="auto"/>
        <w:jc w:val="center"/>
        <w:rPr>
          <w:rFonts w:ascii="Arial" w:eastAsia="Arial" w:hAnsi="Arial" w:cs="Arial"/>
          <w:b/>
          <w:sz w:val="32"/>
          <w:szCs w:val="32"/>
        </w:rPr>
      </w:pPr>
      <w:r>
        <w:rPr>
          <w:rFonts w:ascii="Arial" w:eastAsia="Arial" w:hAnsi="Arial" w:cs="Arial"/>
          <w:b/>
          <w:sz w:val="32"/>
          <w:szCs w:val="32"/>
        </w:rPr>
        <w:t>Dossier élève</w:t>
      </w:r>
    </w:p>
    <w:p w14:paraId="350964FF" w14:textId="77777777" w:rsidR="00A14A33" w:rsidRDefault="00A14A33">
      <w:pPr>
        <w:spacing w:before="240" w:after="0" w:line="276" w:lineRule="auto"/>
        <w:jc w:val="both"/>
        <w:rPr>
          <w:rFonts w:ascii="Arial" w:eastAsia="Arial" w:hAnsi="Arial" w:cs="Arial"/>
          <w:sz w:val="24"/>
          <w:szCs w:val="24"/>
        </w:rPr>
      </w:pPr>
    </w:p>
    <w:tbl>
      <w:tblPr>
        <w:tblStyle w:val="ad"/>
        <w:tblW w:w="1033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011"/>
        <w:gridCol w:w="5327"/>
      </w:tblGrid>
      <w:tr w:rsidR="00A14A33" w14:paraId="0066593F" w14:textId="77777777" w:rsidTr="00C0791C">
        <w:trPr>
          <w:trHeight w:val="531"/>
          <w:jc w:val="center"/>
        </w:trPr>
        <w:tc>
          <w:tcPr>
            <w:tcW w:w="5011"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74647A" w14:textId="77777777" w:rsidR="00A14A33" w:rsidRDefault="00000000">
            <w:pPr>
              <w:spacing w:before="240" w:after="240" w:line="276" w:lineRule="auto"/>
              <w:rPr>
                <w:rFonts w:ascii="Arial" w:eastAsia="Arial" w:hAnsi="Arial" w:cs="Arial"/>
                <w:b/>
              </w:rPr>
            </w:pPr>
            <w:r>
              <w:rPr>
                <w:rFonts w:ascii="Arial" w:eastAsia="Arial" w:hAnsi="Arial" w:cs="Arial"/>
                <w:b/>
              </w:rPr>
              <w:t>Capacité des sciences de gestion</w:t>
            </w:r>
          </w:p>
          <w:p w14:paraId="403F6DFE" w14:textId="77777777" w:rsidR="00A14A33" w:rsidRDefault="00000000">
            <w:pPr>
              <w:numPr>
                <w:ilvl w:val="0"/>
                <w:numId w:val="14"/>
              </w:numPr>
              <w:spacing w:before="240" w:after="0" w:line="276" w:lineRule="auto"/>
              <w:rPr>
                <w:rFonts w:ascii="Arial" w:eastAsia="Arial" w:hAnsi="Arial" w:cs="Arial"/>
              </w:rPr>
            </w:pPr>
            <w:r>
              <w:rPr>
                <w:rFonts w:ascii="Arial" w:eastAsia="Arial" w:hAnsi="Arial" w:cs="Arial"/>
              </w:rPr>
              <w:t>Évaluer la productivité du travail</w:t>
            </w:r>
          </w:p>
          <w:p w14:paraId="5C6B82A9" w14:textId="77777777" w:rsidR="00A14A33" w:rsidRDefault="00000000">
            <w:pPr>
              <w:numPr>
                <w:ilvl w:val="0"/>
                <w:numId w:val="14"/>
              </w:numPr>
              <w:spacing w:after="240" w:line="276" w:lineRule="auto"/>
              <w:rPr>
                <w:rFonts w:ascii="Arial" w:eastAsia="Arial" w:hAnsi="Arial" w:cs="Arial"/>
              </w:rPr>
            </w:pPr>
            <w:r>
              <w:rPr>
                <w:rFonts w:ascii="Arial" w:eastAsia="Arial" w:hAnsi="Arial" w:cs="Arial"/>
              </w:rPr>
              <w:t>Mesurer l’activité de travail à l’aide d’indicateurs pertinents</w:t>
            </w:r>
          </w:p>
          <w:p w14:paraId="238081FC" w14:textId="77777777" w:rsidR="00A14A33" w:rsidRDefault="00000000">
            <w:pPr>
              <w:spacing w:before="240" w:after="240" w:line="276" w:lineRule="auto"/>
              <w:rPr>
                <w:rFonts w:ascii="Arial" w:eastAsia="Arial" w:hAnsi="Arial" w:cs="Arial"/>
                <w:b/>
              </w:rPr>
            </w:pPr>
            <w:r>
              <w:rPr>
                <w:rFonts w:ascii="Arial" w:eastAsia="Arial" w:hAnsi="Arial" w:cs="Arial"/>
                <w:b/>
              </w:rPr>
              <w:t>Notions</w:t>
            </w:r>
          </w:p>
          <w:p w14:paraId="14076C4D" w14:textId="77777777" w:rsidR="00A14A33" w:rsidRDefault="00000000">
            <w:pPr>
              <w:numPr>
                <w:ilvl w:val="0"/>
                <w:numId w:val="7"/>
              </w:numPr>
              <w:spacing w:before="240" w:after="0" w:line="276" w:lineRule="auto"/>
              <w:rPr>
                <w:rFonts w:ascii="Arial" w:eastAsia="Arial" w:hAnsi="Arial" w:cs="Arial"/>
              </w:rPr>
            </w:pPr>
            <w:r>
              <w:rPr>
                <w:rFonts w:ascii="Arial" w:eastAsia="Arial" w:hAnsi="Arial" w:cs="Arial"/>
              </w:rPr>
              <w:t>Gouvernement des organisations.</w:t>
            </w:r>
          </w:p>
          <w:p w14:paraId="7BD291F2" w14:textId="77777777" w:rsidR="00A14A33" w:rsidRDefault="00000000">
            <w:pPr>
              <w:numPr>
                <w:ilvl w:val="0"/>
                <w:numId w:val="7"/>
              </w:numPr>
              <w:spacing w:after="0" w:line="276" w:lineRule="auto"/>
              <w:rPr>
                <w:rFonts w:ascii="Arial" w:eastAsia="Arial" w:hAnsi="Arial" w:cs="Arial"/>
              </w:rPr>
            </w:pPr>
            <w:r>
              <w:rPr>
                <w:rFonts w:ascii="Arial" w:eastAsia="Arial" w:hAnsi="Arial" w:cs="Arial"/>
              </w:rPr>
              <w:t>Mode de contrôle des dirigeants</w:t>
            </w:r>
          </w:p>
          <w:p w14:paraId="5835F829" w14:textId="77777777" w:rsidR="00A14A33" w:rsidRDefault="00000000">
            <w:pPr>
              <w:numPr>
                <w:ilvl w:val="0"/>
                <w:numId w:val="7"/>
              </w:numPr>
              <w:spacing w:after="0" w:line="276" w:lineRule="auto"/>
              <w:rPr>
                <w:rFonts w:ascii="Arial" w:eastAsia="Arial" w:hAnsi="Arial" w:cs="Arial"/>
              </w:rPr>
            </w:pPr>
            <w:r>
              <w:rPr>
                <w:rFonts w:ascii="Arial" w:eastAsia="Arial" w:hAnsi="Arial" w:cs="Arial"/>
              </w:rPr>
              <w:t>Structure de propriété</w:t>
            </w:r>
          </w:p>
          <w:p w14:paraId="297E117E" w14:textId="77777777" w:rsidR="00A14A33" w:rsidRDefault="00000000">
            <w:pPr>
              <w:numPr>
                <w:ilvl w:val="0"/>
                <w:numId w:val="7"/>
              </w:numPr>
              <w:spacing w:after="0" w:line="276" w:lineRule="auto"/>
              <w:rPr>
                <w:rFonts w:ascii="Arial" w:eastAsia="Arial" w:hAnsi="Arial" w:cs="Arial"/>
              </w:rPr>
            </w:pPr>
            <w:r>
              <w:rPr>
                <w:rFonts w:ascii="Arial" w:eastAsia="Arial" w:hAnsi="Arial" w:cs="Arial"/>
              </w:rPr>
              <w:t xml:space="preserve">Valeur boursière </w:t>
            </w:r>
          </w:p>
          <w:p w14:paraId="6471C505" w14:textId="77777777" w:rsidR="00A14A33" w:rsidRDefault="00000000">
            <w:pPr>
              <w:numPr>
                <w:ilvl w:val="0"/>
                <w:numId w:val="7"/>
              </w:numPr>
              <w:spacing w:after="0" w:line="276" w:lineRule="auto"/>
              <w:rPr>
                <w:rFonts w:ascii="Arial" w:eastAsia="Arial" w:hAnsi="Arial" w:cs="Arial"/>
              </w:rPr>
            </w:pPr>
            <w:r>
              <w:rPr>
                <w:rFonts w:ascii="Arial" w:eastAsia="Arial" w:hAnsi="Arial" w:cs="Arial"/>
              </w:rPr>
              <w:t>Performance sociale</w:t>
            </w:r>
          </w:p>
          <w:p w14:paraId="7BA03E22" w14:textId="4B954637" w:rsidR="00A14A33" w:rsidRDefault="00000000">
            <w:pPr>
              <w:numPr>
                <w:ilvl w:val="0"/>
                <w:numId w:val="7"/>
              </w:numPr>
              <w:spacing w:after="240" w:line="276" w:lineRule="auto"/>
              <w:rPr>
                <w:rFonts w:ascii="Arial" w:eastAsia="Arial" w:hAnsi="Arial" w:cs="Arial"/>
              </w:rPr>
            </w:pPr>
            <w:r>
              <w:rPr>
                <w:rFonts w:ascii="Arial" w:eastAsia="Arial" w:hAnsi="Arial" w:cs="Arial"/>
              </w:rPr>
              <w:t xml:space="preserve">Performance </w:t>
            </w:r>
            <w:r w:rsidR="00C0791C">
              <w:rPr>
                <w:rFonts w:ascii="Arial" w:eastAsia="Arial" w:hAnsi="Arial" w:cs="Arial"/>
              </w:rPr>
              <w:t>financière :</w:t>
            </w:r>
            <w:r>
              <w:rPr>
                <w:rFonts w:ascii="Arial" w:eastAsia="Arial" w:hAnsi="Arial" w:cs="Arial"/>
              </w:rPr>
              <w:t xml:space="preserve"> dividendes</w:t>
            </w:r>
            <w:r>
              <w:rPr>
                <w:rFonts w:ascii="Arial" w:eastAsia="Arial" w:hAnsi="Arial" w:cs="Arial"/>
                <w:b/>
              </w:rPr>
              <w:tab/>
            </w:r>
          </w:p>
        </w:tc>
        <w:tc>
          <w:tcPr>
            <w:tcW w:w="5327" w:type="dxa"/>
            <w:vMerge w:val="restart"/>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4D7C9F14" w14:textId="77777777" w:rsidR="00A14A33" w:rsidRDefault="00000000">
            <w:pPr>
              <w:spacing w:before="240" w:after="240" w:line="276" w:lineRule="auto"/>
              <w:rPr>
                <w:rFonts w:ascii="Arial" w:eastAsia="Arial" w:hAnsi="Arial" w:cs="Arial"/>
                <w:b/>
              </w:rPr>
            </w:pPr>
            <w:r>
              <w:rPr>
                <w:rFonts w:ascii="Arial" w:eastAsia="Arial" w:hAnsi="Arial" w:cs="Arial"/>
                <w:b/>
              </w:rPr>
              <w:t>Capacité des Mathématiques</w:t>
            </w:r>
          </w:p>
          <w:p w14:paraId="40EF9E81" w14:textId="2B9E9405" w:rsidR="00A14A33" w:rsidRDefault="00000000">
            <w:pPr>
              <w:numPr>
                <w:ilvl w:val="0"/>
                <w:numId w:val="8"/>
              </w:numPr>
              <w:spacing w:before="240" w:after="0" w:line="276" w:lineRule="auto"/>
              <w:rPr>
                <w:rFonts w:ascii="Arial" w:eastAsia="Arial" w:hAnsi="Arial" w:cs="Arial"/>
              </w:rPr>
            </w:pPr>
            <w:r>
              <w:rPr>
                <w:rFonts w:ascii="Arial" w:eastAsia="Arial" w:hAnsi="Arial" w:cs="Arial"/>
              </w:rPr>
              <w:t xml:space="preserve">Calculer, appliquer, exprimer une proportion sous </w:t>
            </w:r>
            <w:r w:rsidR="00C0791C">
              <w:rPr>
                <w:rFonts w:ascii="Arial" w:eastAsia="Arial" w:hAnsi="Arial" w:cs="Arial"/>
              </w:rPr>
              <w:t>différentes</w:t>
            </w:r>
            <w:r>
              <w:rPr>
                <w:rFonts w:ascii="Arial" w:eastAsia="Arial" w:hAnsi="Arial" w:cs="Arial"/>
              </w:rPr>
              <w:t xml:space="preserve"> formes</w:t>
            </w:r>
          </w:p>
          <w:p w14:paraId="43A08558" w14:textId="77777777" w:rsidR="00A14A33" w:rsidRDefault="00000000">
            <w:pPr>
              <w:numPr>
                <w:ilvl w:val="0"/>
                <w:numId w:val="8"/>
              </w:numPr>
              <w:spacing w:after="0" w:line="276" w:lineRule="auto"/>
              <w:rPr>
                <w:rFonts w:ascii="Arial" w:eastAsia="Arial" w:hAnsi="Arial" w:cs="Arial"/>
              </w:rPr>
            </w:pPr>
            <w:r>
              <w:rPr>
                <w:rFonts w:ascii="Arial" w:eastAsia="Arial" w:hAnsi="Arial" w:cs="Arial"/>
              </w:rPr>
              <w:t>Calculer la proportion d’une proportion</w:t>
            </w:r>
          </w:p>
          <w:p w14:paraId="00284994" w14:textId="77777777" w:rsidR="00A14A33" w:rsidRDefault="00000000">
            <w:pPr>
              <w:numPr>
                <w:ilvl w:val="0"/>
                <w:numId w:val="8"/>
              </w:numPr>
              <w:spacing w:after="0" w:line="276" w:lineRule="auto"/>
              <w:rPr>
                <w:rFonts w:ascii="Arial" w:eastAsia="Arial" w:hAnsi="Arial" w:cs="Arial"/>
              </w:rPr>
            </w:pPr>
            <w:r>
              <w:rPr>
                <w:rFonts w:ascii="Arial" w:eastAsia="Arial" w:hAnsi="Arial" w:cs="Arial"/>
              </w:rPr>
              <w:t>Passer d’une formulation additive (%) à une formulation multiplicative (C.M.)</w:t>
            </w:r>
          </w:p>
          <w:p w14:paraId="249B669E" w14:textId="2F93613D" w:rsidR="00A14A33" w:rsidRDefault="00000000">
            <w:pPr>
              <w:numPr>
                <w:ilvl w:val="0"/>
                <w:numId w:val="8"/>
              </w:numPr>
              <w:spacing w:after="0" w:line="276" w:lineRule="auto"/>
              <w:rPr>
                <w:rFonts w:ascii="Arial" w:eastAsia="Arial" w:hAnsi="Arial" w:cs="Arial"/>
              </w:rPr>
            </w:pPr>
            <w:r>
              <w:rPr>
                <w:rFonts w:ascii="Arial" w:eastAsia="Arial" w:hAnsi="Arial" w:cs="Arial"/>
              </w:rPr>
              <w:t>Calculer un taux d’</w:t>
            </w:r>
            <w:r w:rsidR="00C0791C">
              <w:rPr>
                <w:rFonts w:ascii="Arial" w:eastAsia="Arial" w:hAnsi="Arial" w:cs="Arial"/>
              </w:rPr>
              <w:t>évolution</w:t>
            </w:r>
            <w:r>
              <w:rPr>
                <w:rFonts w:ascii="Arial" w:eastAsia="Arial" w:hAnsi="Arial" w:cs="Arial"/>
              </w:rPr>
              <w:t xml:space="preserve">, l’exprimer en pourcentage </w:t>
            </w:r>
          </w:p>
          <w:p w14:paraId="78BC898C" w14:textId="11694F07" w:rsidR="00A14A33" w:rsidRDefault="00000000">
            <w:pPr>
              <w:numPr>
                <w:ilvl w:val="0"/>
                <w:numId w:val="8"/>
              </w:numPr>
              <w:spacing w:after="0" w:line="276" w:lineRule="auto"/>
              <w:rPr>
                <w:rFonts w:ascii="Arial" w:eastAsia="Arial" w:hAnsi="Arial" w:cs="Arial"/>
              </w:rPr>
            </w:pPr>
            <w:r>
              <w:rPr>
                <w:rFonts w:ascii="Arial" w:eastAsia="Arial" w:hAnsi="Arial" w:cs="Arial"/>
              </w:rPr>
              <w:t>Calculer le taux d’</w:t>
            </w:r>
            <w:r w:rsidR="00C0791C">
              <w:rPr>
                <w:rFonts w:ascii="Arial" w:eastAsia="Arial" w:hAnsi="Arial" w:cs="Arial"/>
              </w:rPr>
              <w:t>évolution</w:t>
            </w:r>
            <w:r>
              <w:rPr>
                <w:rFonts w:ascii="Arial" w:eastAsia="Arial" w:hAnsi="Arial" w:cs="Arial"/>
              </w:rPr>
              <w:t xml:space="preserve"> </w:t>
            </w:r>
            <w:r w:rsidR="00C0791C">
              <w:rPr>
                <w:rFonts w:ascii="Arial" w:eastAsia="Arial" w:hAnsi="Arial" w:cs="Arial"/>
              </w:rPr>
              <w:t>équivalent</w:t>
            </w:r>
            <w:r>
              <w:rPr>
                <w:rFonts w:ascii="Arial" w:eastAsia="Arial" w:hAnsi="Arial" w:cs="Arial"/>
              </w:rPr>
              <w:t xml:space="preserve"> à plusieurs </w:t>
            </w:r>
            <w:r w:rsidR="00C0791C">
              <w:rPr>
                <w:rFonts w:ascii="Arial" w:eastAsia="Arial" w:hAnsi="Arial" w:cs="Arial"/>
              </w:rPr>
              <w:t>évolutions</w:t>
            </w:r>
            <w:r>
              <w:rPr>
                <w:rFonts w:ascii="Arial" w:eastAsia="Arial" w:hAnsi="Arial" w:cs="Arial"/>
              </w:rPr>
              <w:t xml:space="preserve"> successives</w:t>
            </w:r>
          </w:p>
          <w:p w14:paraId="73F5B964" w14:textId="574BE471" w:rsidR="00A14A33" w:rsidRDefault="00000000">
            <w:pPr>
              <w:numPr>
                <w:ilvl w:val="0"/>
                <w:numId w:val="8"/>
              </w:numPr>
              <w:spacing w:after="0" w:line="276" w:lineRule="auto"/>
              <w:rPr>
                <w:rFonts w:ascii="Arial" w:eastAsia="Arial" w:hAnsi="Arial" w:cs="Arial"/>
              </w:rPr>
            </w:pPr>
            <w:r>
              <w:rPr>
                <w:rFonts w:ascii="Arial" w:eastAsia="Arial" w:hAnsi="Arial" w:cs="Arial"/>
              </w:rPr>
              <w:t xml:space="preserve">Effectuer une application </w:t>
            </w:r>
            <w:r w:rsidR="00C0791C">
              <w:rPr>
                <w:rFonts w:ascii="Arial" w:eastAsia="Arial" w:hAnsi="Arial" w:cs="Arial"/>
              </w:rPr>
              <w:t>numérique</w:t>
            </w:r>
            <w:r>
              <w:rPr>
                <w:rFonts w:ascii="Arial" w:eastAsia="Arial" w:hAnsi="Arial" w:cs="Arial"/>
              </w:rPr>
              <w:t xml:space="preserve"> d’une formule</w:t>
            </w:r>
          </w:p>
          <w:p w14:paraId="34D62325" w14:textId="108BF221" w:rsidR="00A14A33" w:rsidRDefault="00000000">
            <w:pPr>
              <w:numPr>
                <w:ilvl w:val="0"/>
                <w:numId w:val="8"/>
              </w:numPr>
              <w:spacing w:after="0" w:line="276" w:lineRule="auto"/>
              <w:rPr>
                <w:rFonts w:ascii="Arial" w:eastAsia="Arial" w:hAnsi="Arial" w:cs="Arial"/>
              </w:rPr>
            </w:pPr>
            <w:r>
              <w:rPr>
                <w:rFonts w:ascii="Arial" w:eastAsia="Arial" w:hAnsi="Arial" w:cs="Arial"/>
              </w:rPr>
              <w:t>Effectuer des conversions d’</w:t>
            </w:r>
            <w:r w:rsidR="00C0791C">
              <w:rPr>
                <w:rFonts w:ascii="Arial" w:eastAsia="Arial" w:hAnsi="Arial" w:cs="Arial"/>
              </w:rPr>
              <w:t>unités</w:t>
            </w:r>
            <w:r>
              <w:rPr>
                <w:rFonts w:ascii="Arial" w:eastAsia="Arial" w:hAnsi="Arial" w:cs="Arial"/>
                <w:b/>
              </w:rPr>
              <w:t xml:space="preserve"> </w:t>
            </w:r>
          </w:p>
          <w:p w14:paraId="160F18FD" w14:textId="3D8E6FDC" w:rsidR="00A14A33" w:rsidRDefault="00000000">
            <w:pPr>
              <w:numPr>
                <w:ilvl w:val="0"/>
                <w:numId w:val="8"/>
              </w:numPr>
              <w:spacing w:after="0" w:line="276" w:lineRule="auto"/>
              <w:rPr>
                <w:rFonts w:ascii="Arial" w:eastAsia="Arial" w:hAnsi="Arial" w:cs="Arial"/>
              </w:rPr>
            </w:pPr>
            <w:r>
              <w:rPr>
                <w:rFonts w:ascii="Arial" w:eastAsia="Arial" w:hAnsi="Arial" w:cs="Arial"/>
              </w:rPr>
              <w:t xml:space="preserve">Lire un graphique ou toute autre </w:t>
            </w:r>
            <w:r w:rsidR="00C0791C">
              <w:rPr>
                <w:rFonts w:ascii="Arial" w:eastAsia="Arial" w:hAnsi="Arial" w:cs="Arial"/>
              </w:rPr>
              <w:t>représentation</w:t>
            </w:r>
          </w:p>
          <w:p w14:paraId="5C3E4D84" w14:textId="58C8AA7B" w:rsidR="00A14A33" w:rsidRDefault="00000000">
            <w:pPr>
              <w:numPr>
                <w:ilvl w:val="0"/>
                <w:numId w:val="8"/>
              </w:numPr>
              <w:spacing w:after="0" w:line="276" w:lineRule="auto"/>
              <w:rPr>
                <w:rFonts w:ascii="Arial" w:eastAsia="Arial" w:hAnsi="Arial" w:cs="Arial"/>
              </w:rPr>
            </w:pPr>
            <w:r>
              <w:rPr>
                <w:rFonts w:ascii="Arial" w:eastAsia="Arial" w:hAnsi="Arial" w:cs="Arial"/>
              </w:rPr>
              <w:t xml:space="preserve">Passer du graphique aux </w:t>
            </w:r>
            <w:r w:rsidR="00C0791C">
              <w:rPr>
                <w:rFonts w:ascii="Arial" w:eastAsia="Arial" w:hAnsi="Arial" w:cs="Arial"/>
              </w:rPr>
              <w:t>données</w:t>
            </w:r>
            <w:r>
              <w:rPr>
                <w:rFonts w:ascii="Arial" w:eastAsia="Arial" w:hAnsi="Arial" w:cs="Arial"/>
              </w:rPr>
              <w:t xml:space="preserve"> et vice-versa</w:t>
            </w:r>
          </w:p>
          <w:p w14:paraId="5D30B637" w14:textId="08A1B3A6" w:rsidR="00A14A33" w:rsidRDefault="00C0791C">
            <w:pPr>
              <w:numPr>
                <w:ilvl w:val="0"/>
                <w:numId w:val="8"/>
              </w:numPr>
              <w:spacing w:after="0" w:line="276" w:lineRule="auto"/>
              <w:rPr>
                <w:rFonts w:ascii="Arial" w:eastAsia="Arial" w:hAnsi="Arial" w:cs="Arial"/>
              </w:rPr>
            </w:pPr>
            <w:r>
              <w:rPr>
                <w:rFonts w:ascii="Arial" w:eastAsia="Arial" w:hAnsi="Arial" w:cs="Arial"/>
              </w:rPr>
              <w:t>Déterminer</w:t>
            </w:r>
            <w:r w:rsidR="00000000">
              <w:rPr>
                <w:rFonts w:ascii="Arial" w:eastAsia="Arial" w:hAnsi="Arial" w:cs="Arial"/>
              </w:rPr>
              <w:t xml:space="preserve"> graphiquement des images et des </w:t>
            </w:r>
            <w:r>
              <w:rPr>
                <w:rFonts w:ascii="Arial" w:eastAsia="Arial" w:hAnsi="Arial" w:cs="Arial"/>
              </w:rPr>
              <w:t>antécédents</w:t>
            </w:r>
            <w:r w:rsidR="00000000">
              <w:rPr>
                <w:rFonts w:ascii="Arial" w:eastAsia="Arial" w:hAnsi="Arial" w:cs="Arial"/>
                <w:b/>
              </w:rPr>
              <w:t xml:space="preserve"> </w:t>
            </w:r>
          </w:p>
          <w:p w14:paraId="30CB4016" w14:textId="05B9832B" w:rsidR="00A14A33" w:rsidRDefault="00000000">
            <w:pPr>
              <w:numPr>
                <w:ilvl w:val="0"/>
                <w:numId w:val="8"/>
              </w:numPr>
              <w:spacing w:after="240" w:line="276" w:lineRule="auto"/>
              <w:rPr>
                <w:rFonts w:ascii="Arial" w:eastAsia="Arial" w:hAnsi="Arial" w:cs="Arial"/>
              </w:rPr>
            </w:pPr>
            <w:r>
              <w:rPr>
                <w:rFonts w:ascii="Arial" w:eastAsia="Arial" w:hAnsi="Arial" w:cs="Arial"/>
              </w:rPr>
              <w:t xml:space="preserve">Calculer un terme de rang donné d’une suite </w:t>
            </w:r>
            <w:r w:rsidR="00C0791C">
              <w:rPr>
                <w:rFonts w:ascii="Arial" w:eastAsia="Arial" w:hAnsi="Arial" w:cs="Arial"/>
              </w:rPr>
              <w:t>définie</w:t>
            </w:r>
            <w:r>
              <w:rPr>
                <w:rFonts w:ascii="Arial" w:eastAsia="Arial" w:hAnsi="Arial" w:cs="Arial"/>
              </w:rPr>
              <w:t xml:space="preserve"> par une relation fonctionnelle ou une relation de </w:t>
            </w:r>
            <w:r w:rsidR="00C0791C">
              <w:rPr>
                <w:rFonts w:ascii="Arial" w:eastAsia="Arial" w:hAnsi="Arial" w:cs="Arial"/>
              </w:rPr>
              <w:t>récurrence</w:t>
            </w:r>
            <w:r>
              <w:rPr>
                <w:rFonts w:ascii="Arial" w:eastAsia="Arial" w:hAnsi="Arial" w:cs="Arial"/>
              </w:rPr>
              <w:t>.</w:t>
            </w:r>
          </w:p>
        </w:tc>
      </w:tr>
      <w:tr w:rsidR="00A14A33" w14:paraId="18360D29" w14:textId="77777777" w:rsidTr="00C0791C">
        <w:trPr>
          <w:trHeight w:val="1095"/>
          <w:jc w:val="center"/>
        </w:trPr>
        <w:tc>
          <w:tcPr>
            <w:tcW w:w="5011"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7A83C6" w14:textId="77777777" w:rsidR="00A14A33" w:rsidRDefault="00A14A33">
            <w:pPr>
              <w:widowControl w:val="0"/>
              <w:pBdr>
                <w:top w:val="nil"/>
                <w:left w:val="nil"/>
                <w:bottom w:val="nil"/>
                <w:right w:val="nil"/>
                <w:between w:val="nil"/>
              </w:pBdr>
              <w:spacing w:after="0" w:line="276" w:lineRule="auto"/>
              <w:rPr>
                <w:rFonts w:ascii="Arial" w:eastAsia="Arial" w:hAnsi="Arial" w:cs="Arial"/>
              </w:rPr>
            </w:pPr>
          </w:p>
        </w:tc>
        <w:tc>
          <w:tcPr>
            <w:tcW w:w="5327" w:type="dxa"/>
            <w:vMerge/>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041E447C" w14:textId="77777777" w:rsidR="00A14A33" w:rsidRDefault="00A14A33">
            <w:pPr>
              <w:widowControl w:val="0"/>
              <w:pBdr>
                <w:top w:val="nil"/>
                <w:left w:val="nil"/>
                <w:bottom w:val="nil"/>
                <w:right w:val="nil"/>
                <w:between w:val="nil"/>
              </w:pBdr>
              <w:spacing w:after="0" w:line="276" w:lineRule="auto"/>
              <w:rPr>
                <w:rFonts w:ascii="Arial" w:eastAsia="Arial" w:hAnsi="Arial" w:cs="Arial"/>
              </w:rPr>
            </w:pPr>
          </w:p>
        </w:tc>
      </w:tr>
      <w:tr w:rsidR="00A14A33" w14:paraId="4323674E" w14:textId="77777777" w:rsidTr="00C0791C">
        <w:trPr>
          <w:trHeight w:val="5295"/>
          <w:jc w:val="center"/>
        </w:trPr>
        <w:tc>
          <w:tcPr>
            <w:tcW w:w="5011"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A395A4" w14:textId="77777777" w:rsidR="00A14A33" w:rsidRDefault="00A14A33">
            <w:pPr>
              <w:widowControl w:val="0"/>
              <w:pBdr>
                <w:top w:val="nil"/>
                <w:left w:val="nil"/>
                <w:bottom w:val="nil"/>
                <w:right w:val="nil"/>
                <w:between w:val="nil"/>
              </w:pBdr>
              <w:spacing w:after="0" w:line="276" w:lineRule="auto"/>
              <w:rPr>
                <w:rFonts w:ascii="Arial" w:eastAsia="Arial" w:hAnsi="Arial" w:cs="Arial"/>
              </w:rPr>
            </w:pPr>
          </w:p>
        </w:tc>
        <w:tc>
          <w:tcPr>
            <w:tcW w:w="5327" w:type="dxa"/>
            <w:vMerge/>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5AB093D0" w14:textId="77777777" w:rsidR="00A14A33" w:rsidRDefault="00A14A33">
            <w:pPr>
              <w:widowControl w:val="0"/>
              <w:pBdr>
                <w:top w:val="nil"/>
                <w:left w:val="nil"/>
                <w:bottom w:val="nil"/>
                <w:right w:val="nil"/>
                <w:between w:val="nil"/>
              </w:pBdr>
              <w:spacing w:after="0" w:line="276" w:lineRule="auto"/>
              <w:rPr>
                <w:rFonts w:ascii="Arial" w:eastAsia="Arial" w:hAnsi="Arial" w:cs="Arial"/>
              </w:rPr>
            </w:pPr>
          </w:p>
        </w:tc>
      </w:tr>
      <w:tr w:rsidR="00A14A33" w14:paraId="229B2EB9" w14:textId="77777777" w:rsidTr="00C0791C">
        <w:trPr>
          <w:trHeight w:val="531"/>
          <w:jc w:val="center"/>
        </w:trPr>
        <w:tc>
          <w:tcPr>
            <w:tcW w:w="10338" w:type="dxa"/>
            <w:gridSpan w:val="2"/>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3F05E2" w14:textId="77777777" w:rsidR="00A14A33" w:rsidRDefault="00000000">
            <w:pPr>
              <w:spacing w:before="240" w:after="240" w:line="276" w:lineRule="auto"/>
              <w:jc w:val="center"/>
              <w:rPr>
                <w:rFonts w:ascii="Arial" w:eastAsia="Arial" w:hAnsi="Arial" w:cs="Arial"/>
                <w:b/>
              </w:rPr>
            </w:pPr>
            <w:r>
              <w:rPr>
                <w:rFonts w:ascii="Arial" w:eastAsia="Arial" w:hAnsi="Arial" w:cs="Arial"/>
                <w:b/>
              </w:rPr>
              <w:t xml:space="preserve">  Capacités transversales</w:t>
            </w:r>
          </w:p>
          <w:p w14:paraId="4CD1942E" w14:textId="77777777" w:rsidR="00A14A33" w:rsidRDefault="00000000">
            <w:pPr>
              <w:numPr>
                <w:ilvl w:val="0"/>
                <w:numId w:val="18"/>
              </w:numPr>
              <w:spacing w:before="240" w:after="0" w:line="276" w:lineRule="auto"/>
              <w:rPr>
                <w:rFonts w:ascii="Arial" w:eastAsia="Arial" w:hAnsi="Arial" w:cs="Arial"/>
              </w:rPr>
            </w:pPr>
            <w:r>
              <w:rPr>
                <w:rFonts w:ascii="Arial" w:eastAsia="Arial" w:hAnsi="Arial" w:cs="Arial"/>
              </w:rPr>
              <w:t>Utiliser les outils informatiques adaptés pour représenter des proportions</w:t>
            </w:r>
          </w:p>
          <w:p w14:paraId="1F2E83D3" w14:textId="77777777" w:rsidR="00A14A33" w:rsidRDefault="00000000">
            <w:pPr>
              <w:numPr>
                <w:ilvl w:val="0"/>
                <w:numId w:val="16"/>
              </w:numPr>
              <w:spacing w:after="0" w:line="276" w:lineRule="auto"/>
              <w:jc w:val="both"/>
              <w:rPr>
                <w:rFonts w:ascii="Arial" w:eastAsia="Arial" w:hAnsi="Arial" w:cs="Arial"/>
              </w:rPr>
            </w:pPr>
            <w:r>
              <w:rPr>
                <w:rFonts w:ascii="Arial" w:eastAsia="Arial" w:hAnsi="Arial" w:cs="Arial"/>
              </w:rPr>
              <w:t>Analyser des graphiques</w:t>
            </w:r>
          </w:p>
          <w:p w14:paraId="56840AB2" w14:textId="77777777" w:rsidR="00A14A33" w:rsidRDefault="00000000">
            <w:pPr>
              <w:numPr>
                <w:ilvl w:val="0"/>
                <w:numId w:val="16"/>
              </w:numPr>
              <w:spacing w:after="240" w:line="276" w:lineRule="auto"/>
              <w:jc w:val="both"/>
              <w:rPr>
                <w:rFonts w:ascii="Arial" w:eastAsia="Arial" w:hAnsi="Arial" w:cs="Arial"/>
              </w:rPr>
            </w:pPr>
            <w:r>
              <w:rPr>
                <w:rFonts w:ascii="Arial" w:eastAsia="Arial" w:hAnsi="Arial" w:cs="Arial"/>
              </w:rPr>
              <w:t>Réaliser une recherche sur internet</w:t>
            </w:r>
          </w:p>
        </w:tc>
      </w:tr>
      <w:tr w:rsidR="00A14A33" w14:paraId="0CA1EC16" w14:textId="77777777" w:rsidTr="00C0791C">
        <w:trPr>
          <w:trHeight w:val="1152"/>
          <w:jc w:val="center"/>
        </w:trPr>
        <w:tc>
          <w:tcPr>
            <w:tcW w:w="10338" w:type="dxa"/>
            <w:gridSpan w:val="2"/>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65C43CD" w14:textId="77777777" w:rsidR="00A14A33" w:rsidRDefault="00A14A33">
            <w:pPr>
              <w:widowControl w:val="0"/>
              <w:pBdr>
                <w:top w:val="nil"/>
                <w:left w:val="nil"/>
                <w:bottom w:val="nil"/>
                <w:right w:val="nil"/>
                <w:between w:val="nil"/>
              </w:pBdr>
              <w:spacing w:after="0" w:line="276" w:lineRule="auto"/>
              <w:rPr>
                <w:rFonts w:ascii="Arial" w:eastAsia="Arial" w:hAnsi="Arial" w:cs="Arial"/>
              </w:rPr>
            </w:pPr>
          </w:p>
        </w:tc>
      </w:tr>
      <w:tr w:rsidR="00A14A33" w14:paraId="5D121AA4" w14:textId="77777777" w:rsidTr="00C0791C">
        <w:trPr>
          <w:trHeight w:val="635"/>
          <w:jc w:val="center"/>
        </w:trPr>
        <w:tc>
          <w:tcPr>
            <w:tcW w:w="10338" w:type="dxa"/>
            <w:gridSpan w:val="2"/>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EACEF3" w14:textId="77777777" w:rsidR="00A14A33" w:rsidRDefault="00000000">
            <w:pPr>
              <w:spacing w:before="240" w:after="240" w:line="276" w:lineRule="auto"/>
              <w:ind w:left="360"/>
              <w:jc w:val="center"/>
              <w:rPr>
                <w:rFonts w:ascii="Arial" w:eastAsia="Arial" w:hAnsi="Arial" w:cs="Arial"/>
                <w:b/>
              </w:rPr>
            </w:pPr>
            <w:r>
              <w:rPr>
                <w:rFonts w:ascii="Arial" w:eastAsia="Arial" w:hAnsi="Arial" w:cs="Arial"/>
                <w:b/>
              </w:rPr>
              <w:t>Culture générale liée à la filière STMG</w:t>
            </w:r>
          </w:p>
        </w:tc>
      </w:tr>
      <w:tr w:rsidR="00A14A33" w14:paraId="35C396C6" w14:textId="77777777" w:rsidTr="00C0791C">
        <w:trPr>
          <w:trHeight w:val="1142"/>
          <w:jc w:val="center"/>
        </w:trPr>
        <w:tc>
          <w:tcPr>
            <w:tcW w:w="10338" w:type="dxa"/>
            <w:gridSpan w:val="2"/>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A94E1AB" w14:textId="77777777" w:rsidR="00A14A33" w:rsidRDefault="00000000">
            <w:pPr>
              <w:numPr>
                <w:ilvl w:val="0"/>
                <w:numId w:val="12"/>
              </w:numPr>
              <w:spacing w:before="240" w:after="0" w:line="276" w:lineRule="auto"/>
              <w:jc w:val="both"/>
              <w:rPr>
                <w:rFonts w:ascii="Arial" w:eastAsia="Arial" w:hAnsi="Arial" w:cs="Arial"/>
              </w:rPr>
            </w:pPr>
            <w:r>
              <w:rPr>
                <w:rFonts w:ascii="Arial" w:eastAsia="Arial" w:hAnsi="Arial" w:cs="Arial"/>
              </w:rPr>
              <w:t>Le CAC 40</w:t>
            </w:r>
          </w:p>
          <w:p w14:paraId="5CA219A9" w14:textId="77777777" w:rsidR="00A14A33" w:rsidRDefault="00000000">
            <w:pPr>
              <w:numPr>
                <w:ilvl w:val="0"/>
                <w:numId w:val="12"/>
              </w:numPr>
              <w:spacing w:after="0" w:line="276" w:lineRule="auto"/>
              <w:jc w:val="both"/>
              <w:rPr>
                <w:rFonts w:ascii="Arial" w:eastAsia="Arial" w:hAnsi="Arial" w:cs="Arial"/>
              </w:rPr>
            </w:pPr>
            <w:r>
              <w:rPr>
                <w:rFonts w:ascii="Arial" w:eastAsia="Arial" w:hAnsi="Arial" w:cs="Arial"/>
              </w:rPr>
              <w:t xml:space="preserve">L’inflation </w:t>
            </w:r>
          </w:p>
          <w:p w14:paraId="51BF5F9B" w14:textId="77777777" w:rsidR="00A14A33" w:rsidRDefault="00000000">
            <w:pPr>
              <w:numPr>
                <w:ilvl w:val="0"/>
                <w:numId w:val="12"/>
              </w:numPr>
              <w:spacing w:after="240" w:line="276" w:lineRule="auto"/>
              <w:jc w:val="both"/>
              <w:rPr>
                <w:rFonts w:ascii="Arial" w:eastAsia="Arial" w:hAnsi="Arial" w:cs="Arial"/>
              </w:rPr>
            </w:pPr>
            <w:r>
              <w:rPr>
                <w:rFonts w:ascii="Arial" w:eastAsia="Arial" w:hAnsi="Arial" w:cs="Arial"/>
              </w:rPr>
              <w:t>Les NAO (négociations annuelles ordinaires)</w:t>
            </w:r>
          </w:p>
        </w:tc>
      </w:tr>
    </w:tbl>
    <w:p w14:paraId="2B7BFF20" w14:textId="77777777" w:rsidR="00A14A33" w:rsidRDefault="00000000">
      <w:pPr>
        <w:spacing w:before="240" w:after="0" w:line="276" w:lineRule="auto"/>
        <w:jc w:val="both"/>
        <w:rPr>
          <w:rFonts w:ascii="Arial" w:eastAsia="Arial" w:hAnsi="Arial" w:cs="Arial"/>
          <w:b/>
          <w:i/>
          <w:sz w:val="24"/>
          <w:szCs w:val="24"/>
        </w:rPr>
      </w:pPr>
      <w:r>
        <w:rPr>
          <w:rFonts w:ascii="Arial" w:eastAsia="Arial" w:hAnsi="Arial" w:cs="Arial"/>
          <w:b/>
          <w:i/>
          <w:sz w:val="24"/>
          <w:szCs w:val="24"/>
        </w:rPr>
        <w:t>Les chiffres et historiques de développement ont pu être adaptés pour les besoins de l’exercice.</w:t>
      </w:r>
    </w:p>
    <w:p w14:paraId="49BCACB3" w14:textId="77777777" w:rsidR="008D63DF" w:rsidRDefault="008D63DF">
      <w:pPr>
        <w:rPr>
          <w:rFonts w:ascii="Arial" w:eastAsia="Arial" w:hAnsi="Arial" w:cs="Arial"/>
          <w:b/>
          <w:sz w:val="24"/>
          <w:szCs w:val="24"/>
          <w:u w:val="single"/>
        </w:rPr>
      </w:pPr>
      <w:r>
        <w:rPr>
          <w:rFonts w:ascii="Arial" w:eastAsia="Arial" w:hAnsi="Arial" w:cs="Arial"/>
          <w:b/>
          <w:sz w:val="24"/>
          <w:szCs w:val="24"/>
          <w:u w:val="single"/>
        </w:rPr>
        <w:br w:type="page"/>
      </w:r>
    </w:p>
    <w:p w14:paraId="4EF73642" w14:textId="03B82052" w:rsidR="00A14A33" w:rsidRDefault="00000000">
      <w:pPr>
        <w:spacing w:before="240" w:after="0"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Contexte : Entreprise Ubisoft</w:t>
      </w:r>
    </w:p>
    <w:p w14:paraId="7CE94E53" w14:textId="77777777" w:rsidR="00A14A33" w:rsidRDefault="00000000">
      <w:pPr>
        <w:spacing w:before="240" w:after="0" w:line="276"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hyperlink r:id="rId9">
        <w:r w:rsidR="00A14A33">
          <w:rPr>
            <w:rFonts w:ascii="Arial" w:eastAsia="Arial" w:hAnsi="Arial" w:cs="Arial"/>
            <w:color w:val="1155CC"/>
            <w:sz w:val="24"/>
            <w:szCs w:val="24"/>
            <w:highlight w:val="white"/>
            <w:u w:val="single"/>
          </w:rPr>
          <w:t>La vie chez Ubisoft (youtube.com)</w:t>
        </w:r>
      </w:hyperlink>
      <w:r>
        <w:rPr>
          <w:rFonts w:ascii="Arial" w:eastAsia="Arial" w:hAnsi="Arial" w:cs="Arial"/>
          <w:sz w:val="24"/>
          <w:szCs w:val="24"/>
          <w:highlight w:val="white"/>
        </w:rPr>
        <w:t xml:space="preserve"> 2017</w:t>
      </w:r>
    </w:p>
    <w:p w14:paraId="1D6EC9E1" w14:textId="77777777" w:rsidR="00A14A33" w:rsidRDefault="00000000" w:rsidP="00C0791C">
      <w:pPr>
        <w:spacing w:before="240" w:after="0" w:line="276" w:lineRule="auto"/>
        <w:jc w:val="center"/>
        <w:rPr>
          <w:rFonts w:ascii="Arial" w:eastAsia="Arial" w:hAnsi="Arial" w:cs="Arial"/>
          <w:sz w:val="24"/>
          <w:szCs w:val="24"/>
          <w:highlight w:val="white"/>
        </w:rPr>
      </w:pPr>
      <w:r>
        <w:rPr>
          <w:rFonts w:ascii="Arial" w:eastAsia="Arial" w:hAnsi="Arial" w:cs="Arial"/>
          <w:noProof/>
          <w:sz w:val="24"/>
          <w:szCs w:val="24"/>
          <w:highlight w:val="white"/>
        </w:rPr>
        <w:drawing>
          <wp:inline distT="114300" distB="114300" distL="114300" distR="114300" wp14:anchorId="6A2F77E4" wp14:editId="3A175BFE">
            <wp:extent cx="5760410" cy="27686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60410" cy="2768600"/>
                    </a:xfrm>
                    <a:prstGeom prst="rect">
                      <a:avLst/>
                    </a:prstGeom>
                    <a:ln/>
                  </pic:spPr>
                </pic:pic>
              </a:graphicData>
            </a:graphic>
          </wp:inline>
        </w:drawing>
      </w:r>
    </w:p>
    <w:p w14:paraId="3E437CCD" w14:textId="77777777" w:rsidR="00A14A33" w:rsidRDefault="00000000">
      <w:pPr>
        <w:spacing w:before="240" w:after="0" w:line="276" w:lineRule="auto"/>
        <w:jc w:val="both"/>
        <w:rPr>
          <w:rFonts w:ascii="Arial" w:eastAsia="Arial" w:hAnsi="Arial" w:cs="Arial"/>
          <w:sz w:val="24"/>
          <w:szCs w:val="24"/>
          <w:highlight w:val="white"/>
        </w:rPr>
      </w:pPr>
      <w:r>
        <w:rPr>
          <w:rFonts w:ascii="Arial" w:eastAsia="Arial" w:hAnsi="Arial" w:cs="Arial"/>
          <w:sz w:val="24"/>
          <w:szCs w:val="24"/>
          <w:highlight w:val="white"/>
        </w:rPr>
        <w:t>Envie de travailler chez Ubisoft?  Les conditions de travail semblent très favorables…</w:t>
      </w:r>
    </w:p>
    <w:p w14:paraId="3E17A9ED" w14:textId="77777777" w:rsidR="00A14A33" w:rsidRDefault="00000000">
      <w:pPr>
        <w:spacing w:before="240" w:after="0" w:line="276" w:lineRule="auto"/>
        <w:jc w:val="both"/>
        <w:rPr>
          <w:rFonts w:ascii="Arial" w:eastAsia="Arial" w:hAnsi="Arial" w:cs="Arial"/>
          <w:sz w:val="24"/>
          <w:szCs w:val="24"/>
          <w:highlight w:val="white"/>
        </w:rPr>
      </w:pPr>
      <w:r>
        <w:rPr>
          <w:rFonts w:ascii="Arial" w:eastAsia="Arial" w:hAnsi="Arial" w:cs="Arial"/>
          <w:sz w:val="24"/>
          <w:szCs w:val="24"/>
          <w:highlight w:val="white"/>
        </w:rPr>
        <w:t>Cette vidéo issue de la communication interne d’Ubisoft est destinée à promouvoir sa marque employeur. Elle met en avant une culture d’entreprise qui met le salarié au centre de l’attention. Pourtant, une culture d’entreprise est aussi dépendante de la gouvernance de l’entreprise. Même s’il y a une inertie liée à l’ancrage de certaines valeurs, elle peut évoluer au cours du temps…</w:t>
      </w:r>
    </w:p>
    <w:p w14:paraId="2CDEC0B1" w14:textId="77777777" w:rsidR="00A14A33" w:rsidRDefault="00000000">
      <w:pPr>
        <w:spacing w:before="240" w:after="0" w:line="276" w:lineRule="auto"/>
        <w:jc w:val="both"/>
        <w:rPr>
          <w:rFonts w:ascii="Arial" w:eastAsia="Arial" w:hAnsi="Arial" w:cs="Arial"/>
          <w:sz w:val="24"/>
          <w:szCs w:val="24"/>
          <w:highlight w:val="white"/>
        </w:rPr>
      </w:pPr>
      <w:r>
        <w:rPr>
          <w:rFonts w:ascii="Arial" w:eastAsia="Arial" w:hAnsi="Arial" w:cs="Arial"/>
          <w:sz w:val="24"/>
          <w:szCs w:val="24"/>
          <w:highlight w:val="white"/>
        </w:rPr>
        <w:t>Avant de postuler pour une entreprise, s’intéresser à sa gouvernance et à la stabilité de celle-ci est donc très utile surtout si vous souhaitez vous inscrire dans la vie de l’entreprise sur le long terme.</w:t>
      </w:r>
    </w:p>
    <w:p w14:paraId="789306BC" w14:textId="77777777" w:rsidR="00A14A33" w:rsidRDefault="00000000">
      <w:pPr>
        <w:spacing w:before="240" w:after="0" w:line="276" w:lineRule="auto"/>
        <w:jc w:val="both"/>
        <w:rPr>
          <w:rFonts w:ascii="Arial" w:eastAsia="Arial" w:hAnsi="Arial" w:cs="Arial"/>
          <w:sz w:val="24"/>
          <w:szCs w:val="24"/>
          <w:highlight w:val="white"/>
        </w:rPr>
      </w:pPr>
      <w:r>
        <w:rPr>
          <w:rFonts w:ascii="Arial" w:eastAsia="Arial" w:hAnsi="Arial" w:cs="Arial"/>
          <w:sz w:val="24"/>
          <w:szCs w:val="24"/>
          <w:highlight w:val="white"/>
        </w:rPr>
        <w:t>Or, la gouvernance de l’entreprise est déterminée par la composition et l’évolution possible de son capital social. Pour Ubisoft, il ne s’agit pas d’un long fleuve tranquille.</w:t>
      </w:r>
    </w:p>
    <w:p w14:paraId="3B766298" w14:textId="77777777" w:rsidR="00A14A33" w:rsidRDefault="00A14A33">
      <w:pPr>
        <w:spacing w:before="240" w:after="0" w:line="276" w:lineRule="auto"/>
        <w:jc w:val="center"/>
        <w:rPr>
          <w:rFonts w:ascii="Arial" w:eastAsia="Arial" w:hAnsi="Arial" w:cs="Arial"/>
          <w:sz w:val="24"/>
          <w:szCs w:val="24"/>
          <w:highlight w:val="white"/>
          <w:u w:val="single"/>
        </w:rPr>
      </w:pPr>
    </w:p>
    <w:p w14:paraId="47B12448" w14:textId="77777777" w:rsidR="00A14A33" w:rsidRDefault="00A14A33">
      <w:pPr>
        <w:spacing w:before="240" w:after="0" w:line="276" w:lineRule="auto"/>
        <w:jc w:val="both"/>
        <w:rPr>
          <w:rFonts w:ascii="Arial" w:eastAsia="Arial" w:hAnsi="Arial" w:cs="Arial"/>
          <w:sz w:val="24"/>
          <w:szCs w:val="24"/>
          <w:highlight w:val="white"/>
          <w:u w:val="single"/>
        </w:rPr>
      </w:pPr>
    </w:p>
    <w:p w14:paraId="71C9A76F" w14:textId="77777777" w:rsidR="00A14A33" w:rsidRDefault="00A14A33">
      <w:pPr>
        <w:spacing w:before="240" w:after="0" w:line="276" w:lineRule="auto"/>
        <w:jc w:val="both"/>
        <w:rPr>
          <w:rFonts w:ascii="Arial" w:eastAsia="Arial" w:hAnsi="Arial" w:cs="Arial"/>
          <w:sz w:val="24"/>
          <w:szCs w:val="24"/>
          <w:highlight w:val="white"/>
          <w:u w:val="single"/>
        </w:rPr>
      </w:pPr>
    </w:p>
    <w:p w14:paraId="52C4FEC0" w14:textId="77777777" w:rsidR="000F0306" w:rsidRDefault="000F0306">
      <w:pPr>
        <w:spacing w:before="240" w:after="0" w:line="276" w:lineRule="auto"/>
        <w:jc w:val="both"/>
        <w:rPr>
          <w:rFonts w:ascii="Arial" w:eastAsia="Arial" w:hAnsi="Arial" w:cs="Arial"/>
          <w:sz w:val="24"/>
          <w:szCs w:val="24"/>
          <w:highlight w:val="white"/>
          <w:u w:val="single"/>
        </w:rPr>
      </w:pPr>
    </w:p>
    <w:p w14:paraId="60293FE3" w14:textId="77777777" w:rsidR="00A14A33" w:rsidRDefault="00A14A33">
      <w:pPr>
        <w:spacing w:before="240" w:after="0" w:line="276" w:lineRule="auto"/>
        <w:jc w:val="both"/>
        <w:rPr>
          <w:rFonts w:ascii="Arial" w:eastAsia="Arial" w:hAnsi="Arial" w:cs="Arial"/>
          <w:sz w:val="24"/>
          <w:szCs w:val="24"/>
          <w:highlight w:val="white"/>
          <w:u w:val="single"/>
        </w:rPr>
      </w:pPr>
    </w:p>
    <w:p w14:paraId="2984DD54" w14:textId="77777777" w:rsidR="00A14A33" w:rsidRDefault="00000000">
      <w:pPr>
        <w:spacing w:before="240" w:after="0" w:line="276" w:lineRule="auto"/>
        <w:jc w:val="both"/>
        <w:rPr>
          <w:rFonts w:ascii="Arial" w:eastAsia="Arial" w:hAnsi="Arial" w:cs="Arial"/>
          <w:i/>
          <w:sz w:val="24"/>
          <w:szCs w:val="24"/>
          <w:highlight w:val="white"/>
        </w:rPr>
      </w:pPr>
      <w:r>
        <w:rPr>
          <w:rFonts w:ascii="Arial" w:eastAsia="Arial" w:hAnsi="Arial" w:cs="Arial"/>
          <w:b/>
          <w:i/>
          <w:sz w:val="24"/>
          <w:szCs w:val="24"/>
          <w:highlight w:val="white"/>
        </w:rPr>
        <w:t xml:space="preserve">Note pour les professeurs de SDGN : </w:t>
      </w:r>
      <w:r>
        <w:rPr>
          <w:rFonts w:ascii="Arial" w:eastAsia="Arial" w:hAnsi="Arial" w:cs="Arial"/>
          <w:i/>
          <w:sz w:val="24"/>
          <w:szCs w:val="24"/>
          <w:highlight w:val="white"/>
        </w:rPr>
        <w:t>Cela permet une autre approche de la culture d’entreprise et également de faire un lien entre gouvernance et culture d’entreprise, deux notions fondamentales du thème 1 de SDGN.</w:t>
      </w:r>
    </w:p>
    <w:p w14:paraId="616C70BD" w14:textId="77777777" w:rsidR="008D63DF" w:rsidRDefault="008D63DF">
      <w:pPr>
        <w:rPr>
          <w:rFonts w:ascii="Arial" w:eastAsia="Arial" w:hAnsi="Arial" w:cs="Arial"/>
          <w:b/>
          <w:sz w:val="24"/>
          <w:szCs w:val="24"/>
          <w:highlight w:val="white"/>
          <w:u w:val="single"/>
        </w:rPr>
      </w:pPr>
      <w:r>
        <w:rPr>
          <w:rFonts w:ascii="Arial" w:eastAsia="Arial" w:hAnsi="Arial" w:cs="Arial"/>
          <w:b/>
          <w:sz w:val="24"/>
          <w:szCs w:val="24"/>
          <w:highlight w:val="white"/>
          <w:u w:val="single"/>
        </w:rPr>
        <w:br w:type="page"/>
      </w:r>
    </w:p>
    <w:p w14:paraId="692BAEA3" w14:textId="663A30BB" w:rsidR="00A14A33" w:rsidRDefault="00000000">
      <w:pPr>
        <w:spacing w:before="240" w:after="0" w:line="276" w:lineRule="auto"/>
        <w:jc w:val="center"/>
        <w:rPr>
          <w:rFonts w:ascii="Arial" w:eastAsia="Arial" w:hAnsi="Arial" w:cs="Arial"/>
          <w:b/>
          <w:sz w:val="24"/>
          <w:szCs w:val="24"/>
          <w:highlight w:val="white"/>
          <w:u w:val="single"/>
        </w:rPr>
      </w:pPr>
      <w:r>
        <w:rPr>
          <w:rFonts w:ascii="Arial" w:eastAsia="Arial" w:hAnsi="Arial" w:cs="Arial"/>
          <w:b/>
          <w:sz w:val="24"/>
          <w:szCs w:val="24"/>
          <w:highlight w:val="white"/>
          <w:u w:val="single"/>
        </w:rPr>
        <w:lastRenderedPageBreak/>
        <w:t>Partie 1 : La gouvernance de l'entreprise</w:t>
      </w:r>
    </w:p>
    <w:p w14:paraId="4BD79C39" w14:textId="77777777" w:rsidR="00A14A33" w:rsidRDefault="00000000">
      <w:pPr>
        <w:numPr>
          <w:ilvl w:val="0"/>
          <w:numId w:val="9"/>
        </w:numPr>
        <w:spacing w:before="240" w:after="0" w:line="276" w:lineRule="auto"/>
        <w:jc w:val="both"/>
        <w:rPr>
          <w:rFonts w:ascii="Arial" w:eastAsia="Arial" w:hAnsi="Arial" w:cs="Arial"/>
          <w:b/>
          <w:i/>
          <w:sz w:val="24"/>
          <w:szCs w:val="24"/>
          <w:highlight w:val="white"/>
        </w:rPr>
      </w:pPr>
      <w:r>
        <w:rPr>
          <w:rFonts w:ascii="Arial" w:eastAsia="Arial" w:hAnsi="Arial" w:cs="Arial"/>
          <w:b/>
          <w:i/>
          <w:sz w:val="24"/>
          <w:szCs w:val="24"/>
          <w:highlight w:val="white"/>
        </w:rPr>
        <w:t xml:space="preserve">La structure de propriété : la répartition du capital social </w:t>
      </w:r>
    </w:p>
    <w:p w14:paraId="3F372562" w14:textId="182DF7B3" w:rsidR="00A14A33" w:rsidRDefault="00000000" w:rsidP="00772E4B">
      <w:pPr>
        <w:spacing w:before="240"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Vous vous intéressez de près à cette entreprise à laquelle vous pensez postuler en candidature spontanée. Afin de préparer l’entretien et de vous projeter au sein de l’entreprise, vous vous intéressez à la gouvernance de cette entreprise et l’évolution de son capital social. </w:t>
      </w:r>
    </w:p>
    <w:p w14:paraId="0EF953B0" w14:textId="77777777" w:rsidR="008D63DF" w:rsidRPr="00772E4B" w:rsidRDefault="008D63DF" w:rsidP="008D63DF">
      <w:pPr>
        <w:spacing w:after="0" w:line="276" w:lineRule="auto"/>
        <w:jc w:val="both"/>
        <w:rPr>
          <w:rFonts w:ascii="Arial" w:eastAsia="Arial" w:hAnsi="Arial" w:cs="Arial"/>
          <w:sz w:val="20"/>
          <w:szCs w:val="20"/>
          <w:highlight w:val="white"/>
        </w:rPr>
      </w:pPr>
    </w:p>
    <w:tbl>
      <w:tblPr>
        <w:tblStyle w:val="ae"/>
        <w:tblW w:w="106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2"/>
      </w:tblGrid>
      <w:tr w:rsidR="00A14A33" w14:paraId="7CB002A0" w14:textId="77777777" w:rsidTr="00772E4B">
        <w:tc>
          <w:tcPr>
            <w:tcW w:w="10622" w:type="dxa"/>
            <w:shd w:val="clear" w:color="auto" w:fill="auto"/>
            <w:tcMar>
              <w:top w:w="100" w:type="dxa"/>
              <w:left w:w="100" w:type="dxa"/>
              <w:bottom w:w="100" w:type="dxa"/>
              <w:right w:w="100" w:type="dxa"/>
            </w:tcMar>
          </w:tcPr>
          <w:p w14:paraId="41A1F13A" w14:textId="6EC50D2A" w:rsidR="00A14A33" w:rsidRDefault="00000000" w:rsidP="00772E4B">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Document 1. Les principales étapes du capital d’Ubisoft jusqu’en 2021</w:t>
            </w:r>
          </w:p>
        </w:tc>
      </w:tr>
      <w:tr w:rsidR="00A14A33" w14:paraId="6311F7AF" w14:textId="77777777" w:rsidTr="00772E4B">
        <w:trPr>
          <w:trHeight w:val="7762"/>
        </w:trPr>
        <w:tc>
          <w:tcPr>
            <w:tcW w:w="10622" w:type="dxa"/>
            <w:shd w:val="clear" w:color="auto" w:fill="auto"/>
            <w:tcMar>
              <w:top w:w="100" w:type="dxa"/>
              <w:left w:w="100" w:type="dxa"/>
              <w:bottom w:w="100" w:type="dxa"/>
              <w:right w:w="100" w:type="dxa"/>
            </w:tcMar>
          </w:tcPr>
          <w:p w14:paraId="0761BC0C" w14:textId="77777777" w:rsidR="00A14A33" w:rsidRDefault="00000000" w:rsidP="00772E4B">
            <w:pPr>
              <w:spacing w:after="0" w:line="240" w:lineRule="auto"/>
              <w:jc w:val="both"/>
              <w:rPr>
                <w:rFonts w:ascii="Arial" w:eastAsia="Arial" w:hAnsi="Arial" w:cs="Arial"/>
                <w:sz w:val="24"/>
                <w:szCs w:val="24"/>
              </w:rPr>
            </w:pPr>
            <w:r>
              <w:rPr>
                <w:rFonts w:ascii="Arial" w:eastAsia="Arial" w:hAnsi="Arial" w:cs="Arial"/>
                <w:sz w:val="24"/>
                <w:szCs w:val="24"/>
              </w:rPr>
              <w:t>L'évolution du capital social d'Ubisoft a suivi plusieurs étapes significatives depuis sa fondation dont voici un aperçu de certains moments clés de son évolution :</w:t>
            </w:r>
          </w:p>
          <w:p w14:paraId="4B77DF04" w14:textId="77777777" w:rsidR="00A14A33" w:rsidRDefault="00000000" w:rsidP="00772E4B">
            <w:pPr>
              <w:spacing w:before="120" w:after="0" w:line="240" w:lineRule="auto"/>
              <w:jc w:val="both"/>
              <w:rPr>
                <w:rFonts w:ascii="Arial" w:eastAsia="Arial" w:hAnsi="Arial" w:cs="Arial"/>
                <w:sz w:val="24"/>
                <w:szCs w:val="24"/>
              </w:rPr>
            </w:pPr>
            <w:r>
              <w:rPr>
                <w:rFonts w:ascii="Arial" w:eastAsia="Arial" w:hAnsi="Arial" w:cs="Arial"/>
                <w:b/>
                <w:sz w:val="24"/>
                <w:szCs w:val="24"/>
              </w:rPr>
              <w:t>1. Fondation et premières années (1986 - 1996) :</w:t>
            </w:r>
            <w:r>
              <w:rPr>
                <w:rFonts w:ascii="Arial" w:eastAsia="Arial" w:hAnsi="Arial" w:cs="Arial"/>
                <w:sz w:val="24"/>
                <w:szCs w:val="24"/>
              </w:rPr>
              <w:t xml:space="preserve"> Ubisoft est fondée en France par les frères Guillemot. Durant cette période, Ubisoft reste une société privée, et son capital social est principalement constitué des apports des fondateurs et d'investissements privés.</w:t>
            </w:r>
          </w:p>
          <w:p w14:paraId="50B3814E" w14:textId="77777777" w:rsidR="00A14A33" w:rsidRDefault="00000000" w:rsidP="00772E4B">
            <w:pPr>
              <w:spacing w:before="120" w:after="0" w:line="240" w:lineRule="auto"/>
              <w:jc w:val="both"/>
              <w:rPr>
                <w:rFonts w:ascii="Arial" w:eastAsia="Arial" w:hAnsi="Arial" w:cs="Arial"/>
                <w:sz w:val="24"/>
                <w:szCs w:val="24"/>
              </w:rPr>
            </w:pPr>
            <w:r>
              <w:rPr>
                <w:rFonts w:ascii="Arial" w:eastAsia="Arial" w:hAnsi="Arial" w:cs="Arial"/>
                <w:b/>
                <w:sz w:val="24"/>
                <w:szCs w:val="24"/>
              </w:rPr>
              <w:t xml:space="preserve">2. Introduction en bourse (1996) : </w:t>
            </w:r>
            <w:r>
              <w:rPr>
                <w:rFonts w:ascii="Arial" w:eastAsia="Arial" w:hAnsi="Arial" w:cs="Arial"/>
                <w:sz w:val="24"/>
                <w:szCs w:val="24"/>
              </w:rPr>
              <w:t>Cette introduction permet à l'entreprise de lever des fonds en émettant des actions pour financer son expansion rapide dans le secteur du jeu vidéo. L’introduction en bourse constitue une augmentation significative du capital social, élargissant le cercle des actionnaires au-delà des fondateurs et des investisseurs privés.</w:t>
            </w:r>
          </w:p>
          <w:p w14:paraId="117479E9" w14:textId="77777777" w:rsidR="00A14A33" w:rsidRDefault="00000000" w:rsidP="00772E4B">
            <w:pPr>
              <w:spacing w:before="120" w:after="0" w:line="240" w:lineRule="auto"/>
              <w:jc w:val="both"/>
              <w:rPr>
                <w:rFonts w:ascii="Arial" w:eastAsia="Arial" w:hAnsi="Arial" w:cs="Arial"/>
                <w:sz w:val="24"/>
                <w:szCs w:val="24"/>
              </w:rPr>
            </w:pPr>
            <w:r>
              <w:rPr>
                <w:rFonts w:ascii="Arial" w:eastAsia="Arial" w:hAnsi="Arial" w:cs="Arial"/>
                <w:b/>
                <w:sz w:val="24"/>
                <w:szCs w:val="24"/>
              </w:rPr>
              <w:t xml:space="preserve">3. Croissance et expansions (Années 2000) : </w:t>
            </w:r>
            <w:r>
              <w:rPr>
                <w:rFonts w:ascii="Arial" w:eastAsia="Arial" w:hAnsi="Arial" w:cs="Arial"/>
                <w:sz w:val="24"/>
                <w:szCs w:val="24"/>
              </w:rPr>
              <w:t>Cette expansion est financée en partie par plusieurs augmentations de capital, avec l'émission de nouvelles actions pour renforcer les finances de l'entreprise et financer la création de nouveaux studios.</w:t>
            </w:r>
          </w:p>
          <w:p w14:paraId="3C759AB0" w14:textId="77777777" w:rsidR="00A14A33" w:rsidRDefault="00000000" w:rsidP="00772E4B">
            <w:pPr>
              <w:spacing w:before="120" w:after="0" w:line="240" w:lineRule="auto"/>
              <w:jc w:val="both"/>
              <w:rPr>
                <w:rFonts w:ascii="Arial" w:eastAsia="Arial" w:hAnsi="Arial" w:cs="Arial"/>
                <w:sz w:val="24"/>
                <w:szCs w:val="24"/>
              </w:rPr>
            </w:pPr>
            <w:r>
              <w:rPr>
                <w:rFonts w:ascii="Arial" w:eastAsia="Arial" w:hAnsi="Arial" w:cs="Arial"/>
                <w:b/>
                <w:sz w:val="24"/>
                <w:szCs w:val="24"/>
              </w:rPr>
              <w:t>4. Tentative de prise de contrôle hostile par Vivendi (2015 - 2018) :</w:t>
            </w:r>
            <w:r>
              <w:rPr>
                <w:rFonts w:ascii="Arial" w:eastAsia="Arial" w:hAnsi="Arial" w:cs="Arial"/>
                <w:sz w:val="24"/>
                <w:szCs w:val="24"/>
              </w:rPr>
              <w:t xml:space="preserve"> Vivendi, géant des médias français, commence à accumuler des actions Ubisoft, avec l’intention de prendre le contrôle de l'entreprise. Cette situation pousse Ubisoft à mobiliser des ressources pour défendre son indépendance. Ubisoft effectue plusieurs augmentations de capital pour renforcer la position des actionnaires de référence, dont la famille Guillemot, et pour diluer la position de Vivendi. Vivendi finit par abandonner.</w:t>
            </w:r>
          </w:p>
          <w:p w14:paraId="06BC30E0" w14:textId="77777777" w:rsidR="00A14A33" w:rsidRDefault="00000000" w:rsidP="00772E4B">
            <w:pPr>
              <w:spacing w:before="120" w:after="0" w:line="240" w:lineRule="auto"/>
              <w:jc w:val="both"/>
              <w:rPr>
                <w:rFonts w:ascii="Arial" w:eastAsia="Arial" w:hAnsi="Arial" w:cs="Arial"/>
                <w:sz w:val="24"/>
                <w:szCs w:val="24"/>
              </w:rPr>
            </w:pPr>
            <w:r>
              <w:rPr>
                <w:rFonts w:ascii="Arial" w:eastAsia="Arial" w:hAnsi="Arial" w:cs="Arial"/>
                <w:b/>
                <w:sz w:val="24"/>
                <w:szCs w:val="24"/>
              </w:rPr>
              <w:t xml:space="preserve">5. Acquisitions et développement (2020 - 2021) : </w:t>
            </w:r>
            <w:r>
              <w:rPr>
                <w:rFonts w:ascii="Arial" w:eastAsia="Arial" w:hAnsi="Arial" w:cs="Arial"/>
                <w:sz w:val="24"/>
                <w:szCs w:val="24"/>
              </w:rPr>
              <w:t>Ubisoft continue de faire des acquisitions stratégiques pour renforcer son portefeuille de studios de développement. Cela peut entraîner ponctuellement des augmentations de capital, notamment lorsque l'acquisition est financée par émission d'actions plutôt que par emprunt.</w:t>
            </w:r>
          </w:p>
          <w:p w14:paraId="7CABBA2B" w14:textId="5942B275" w:rsidR="00A14A33" w:rsidRDefault="00000000" w:rsidP="00772E4B">
            <w:pPr>
              <w:spacing w:before="120" w:after="0" w:line="240" w:lineRule="auto"/>
              <w:jc w:val="both"/>
              <w:rPr>
                <w:rFonts w:ascii="Arial" w:eastAsia="Arial" w:hAnsi="Arial" w:cs="Arial"/>
                <w:sz w:val="24"/>
                <w:szCs w:val="24"/>
              </w:rPr>
            </w:pPr>
            <w:r>
              <w:rPr>
                <w:rFonts w:ascii="Arial" w:eastAsia="Arial" w:hAnsi="Arial" w:cs="Arial"/>
                <w:sz w:val="24"/>
                <w:szCs w:val="24"/>
              </w:rPr>
              <w:t>En résumé, l'évolution du capital social d'Ubisoft est étroitement liée à son expansion, ses acquisitions, ses relations avec les actionnaires, et ses stratégies de défense contre les tentatives de prise de contrôle.</w:t>
            </w:r>
          </w:p>
        </w:tc>
      </w:tr>
    </w:tbl>
    <w:p w14:paraId="5D895B58" w14:textId="77777777" w:rsidR="000F0306" w:rsidRDefault="000F0306" w:rsidP="00772E4B">
      <w:pPr>
        <w:spacing w:after="0" w:line="240" w:lineRule="auto"/>
        <w:jc w:val="both"/>
        <w:rPr>
          <w:rFonts w:ascii="Arial" w:eastAsia="Arial" w:hAnsi="Arial" w:cs="Arial"/>
          <w:sz w:val="24"/>
          <w:szCs w:val="24"/>
        </w:rPr>
      </w:pPr>
    </w:p>
    <w:tbl>
      <w:tblPr>
        <w:tblStyle w:val="af"/>
        <w:tblW w:w="106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2"/>
      </w:tblGrid>
      <w:tr w:rsidR="00A14A33" w14:paraId="322CF3DF" w14:textId="77777777" w:rsidTr="00772E4B">
        <w:tc>
          <w:tcPr>
            <w:tcW w:w="10622" w:type="dxa"/>
            <w:shd w:val="clear" w:color="auto" w:fill="auto"/>
            <w:tcMar>
              <w:top w:w="100" w:type="dxa"/>
              <w:left w:w="100" w:type="dxa"/>
              <w:bottom w:w="100" w:type="dxa"/>
              <w:right w:w="100" w:type="dxa"/>
            </w:tcMar>
          </w:tcPr>
          <w:p w14:paraId="3EF75963" w14:textId="22274AFF" w:rsidR="00A14A33" w:rsidRDefault="00000000" w:rsidP="00772E4B">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Document 2. La répartition du capital social en 2021 (20 millions d’€) entre trois catégories d’investisseurs</w:t>
            </w:r>
          </w:p>
        </w:tc>
      </w:tr>
      <w:tr w:rsidR="00A14A33" w14:paraId="2AC606F3" w14:textId="77777777" w:rsidTr="00772E4B">
        <w:trPr>
          <w:trHeight w:val="1443"/>
        </w:trPr>
        <w:tc>
          <w:tcPr>
            <w:tcW w:w="10622" w:type="dxa"/>
            <w:shd w:val="clear" w:color="auto" w:fill="auto"/>
            <w:tcMar>
              <w:top w:w="100" w:type="dxa"/>
              <w:left w:w="100" w:type="dxa"/>
              <w:bottom w:w="100" w:type="dxa"/>
              <w:right w:w="100" w:type="dxa"/>
            </w:tcMar>
          </w:tcPr>
          <w:p w14:paraId="019481BD" w14:textId="77777777" w:rsidR="00A14A33" w:rsidRDefault="00000000" w:rsidP="00772E4B">
            <w:pPr>
              <w:numPr>
                <w:ilvl w:val="0"/>
                <w:numId w:val="13"/>
              </w:numPr>
              <w:spacing w:after="0" w:line="240" w:lineRule="auto"/>
              <w:jc w:val="both"/>
              <w:rPr>
                <w:rFonts w:ascii="Arial" w:eastAsia="Arial" w:hAnsi="Arial" w:cs="Arial"/>
                <w:sz w:val="24"/>
                <w:szCs w:val="24"/>
              </w:rPr>
            </w:pPr>
            <w:r>
              <w:rPr>
                <w:rFonts w:ascii="Arial" w:eastAsia="Arial" w:hAnsi="Arial" w:cs="Arial"/>
                <w:b/>
                <w:sz w:val="24"/>
                <w:szCs w:val="24"/>
              </w:rPr>
              <w:t>Famille Guillemot</w:t>
            </w:r>
            <w:r>
              <w:rPr>
                <w:rFonts w:ascii="Arial" w:eastAsia="Arial" w:hAnsi="Arial" w:cs="Arial"/>
                <w:sz w:val="24"/>
                <w:szCs w:val="24"/>
              </w:rPr>
              <w:t xml:space="preserve"> : Les fondateurs d'Ubisoft, la famille Guillemot, conservent une part importante du capital : 25%</w:t>
            </w:r>
          </w:p>
          <w:p w14:paraId="3941ED54" w14:textId="77777777" w:rsidR="00A14A33" w:rsidRDefault="00000000" w:rsidP="00772E4B">
            <w:pPr>
              <w:numPr>
                <w:ilvl w:val="0"/>
                <w:numId w:val="17"/>
              </w:numPr>
              <w:spacing w:after="0" w:line="240" w:lineRule="auto"/>
              <w:jc w:val="both"/>
              <w:rPr>
                <w:rFonts w:ascii="Arial" w:eastAsia="Arial" w:hAnsi="Arial" w:cs="Arial"/>
                <w:sz w:val="24"/>
                <w:szCs w:val="24"/>
              </w:rPr>
            </w:pPr>
            <w:r>
              <w:rPr>
                <w:rFonts w:ascii="Arial" w:eastAsia="Arial" w:hAnsi="Arial" w:cs="Arial"/>
                <w:b/>
                <w:sz w:val="24"/>
                <w:szCs w:val="24"/>
              </w:rPr>
              <w:t xml:space="preserve">Investisseurs institutionnels </w:t>
            </w:r>
            <w:r>
              <w:rPr>
                <w:rFonts w:ascii="Arial" w:eastAsia="Arial" w:hAnsi="Arial" w:cs="Arial"/>
                <w:sz w:val="24"/>
                <w:szCs w:val="24"/>
              </w:rPr>
              <w:t>(fonds de pension, fonds d'investissement, etc…)</w:t>
            </w:r>
            <w:r>
              <w:rPr>
                <w:rFonts w:ascii="Arial" w:eastAsia="Arial" w:hAnsi="Arial" w:cs="Arial"/>
                <w:b/>
                <w:sz w:val="24"/>
                <w:szCs w:val="24"/>
              </w:rPr>
              <w:t>, actionnaires publics et grandes</w:t>
            </w:r>
            <w:r>
              <w:rPr>
                <w:rFonts w:ascii="Arial" w:eastAsia="Arial" w:hAnsi="Arial" w:cs="Arial"/>
                <w:sz w:val="24"/>
                <w:szCs w:val="24"/>
              </w:rPr>
              <w:t xml:space="preserve"> </w:t>
            </w:r>
            <w:r>
              <w:rPr>
                <w:rFonts w:ascii="Arial" w:eastAsia="Arial" w:hAnsi="Arial" w:cs="Arial"/>
                <w:b/>
                <w:sz w:val="24"/>
                <w:szCs w:val="24"/>
              </w:rPr>
              <w:t>entreprises</w:t>
            </w:r>
            <w:r>
              <w:rPr>
                <w:rFonts w:ascii="Arial" w:eastAsia="Arial" w:hAnsi="Arial" w:cs="Arial"/>
                <w:sz w:val="24"/>
                <w:szCs w:val="24"/>
              </w:rPr>
              <w:t xml:space="preserve"> : 60%</w:t>
            </w:r>
          </w:p>
          <w:p w14:paraId="313A75CD" w14:textId="1A9D5DE1" w:rsidR="00A14A33" w:rsidRDefault="00000000" w:rsidP="00772E4B">
            <w:pPr>
              <w:numPr>
                <w:ilvl w:val="0"/>
                <w:numId w:val="17"/>
              </w:numPr>
              <w:spacing w:after="0" w:line="240" w:lineRule="auto"/>
              <w:jc w:val="both"/>
              <w:rPr>
                <w:rFonts w:ascii="Arial" w:eastAsia="Arial" w:hAnsi="Arial" w:cs="Arial"/>
                <w:sz w:val="24"/>
                <w:szCs w:val="24"/>
              </w:rPr>
            </w:pPr>
            <w:r>
              <w:rPr>
                <w:rFonts w:ascii="Arial" w:eastAsia="Arial" w:hAnsi="Arial" w:cs="Arial"/>
                <w:b/>
                <w:sz w:val="24"/>
                <w:szCs w:val="24"/>
              </w:rPr>
              <w:t xml:space="preserve">Actionnaires individuels </w:t>
            </w:r>
            <w:r>
              <w:rPr>
                <w:rFonts w:ascii="Arial" w:eastAsia="Arial" w:hAnsi="Arial" w:cs="Arial"/>
                <w:sz w:val="24"/>
                <w:szCs w:val="24"/>
              </w:rPr>
              <w:t xml:space="preserve">: par le biais des marchés financiers. </w:t>
            </w:r>
          </w:p>
        </w:tc>
      </w:tr>
    </w:tbl>
    <w:p w14:paraId="0A056B14" w14:textId="77777777" w:rsidR="00A14A33" w:rsidRDefault="00A14A33" w:rsidP="00772E4B">
      <w:pPr>
        <w:spacing w:after="0" w:line="240" w:lineRule="auto"/>
        <w:ind w:left="720"/>
        <w:jc w:val="both"/>
        <w:rPr>
          <w:rFonts w:ascii="Arial" w:eastAsia="Arial" w:hAnsi="Arial" w:cs="Arial"/>
          <w:sz w:val="24"/>
          <w:szCs w:val="24"/>
        </w:rPr>
      </w:pPr>
    </w:p>
    <w:p w14:paraId="0CE986BB" w14:textId="77777777" w:rsidR="00A14A33" w:rsidRDefault="00000000">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b/>
          <w:sz w:val="24"/>
          <w:szCs w:val="24"/>
        </w:rPr>
      </w:pPr>
      <w:r>
        <w:rPr>
          <w:rFonts w:ascii="Arial" w:eastAsia="Arial" w:hAnsi="Arial" w:cs="Arial"/>
          <w:b/>
          <w:sz w:val="24"/>
          <w:szCs w:val="24"/>
        </w:rPr>
        <w:t>1. Calculer la part détenue par les actionnaires individuels en 2021.</w:t>
      </w:r>
    </w:p>
    <w:p w14:paraId="606A4E72" w14:textId="2DE9C675" w:rsidR="00A14A33" w:rsidRDefault="00000000">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b/>
          <w:sz w:val="24"/>
          <w:szCs w:val="24"/>
        </w:rPr>
      </w:pPr>
      <w:r>
        <w:rPr>
          <w:rFonts w:ascii="Arial" w:eastAsia="Arial" w:hAnsi="Arial" w:cs="Arial"/>
          <w:b/>
          <w:sz w:val="24"/>
          <w:szCs w:val="24"/>
        </w:rPr>
        <w:t xml:space="preserve">2. En déduire le calcul du montant du capital social détenu par chacune des catégories d'investisseurs. </w:t>
      </w:r>
    </w:p>
    <w:tbl>
      <w:tblPr>
        <w:tblStyle w:val="af3"/>
        <w:tblW w:w="106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2"/>
      </w:tblGrid>
      <w:tr w:rsidR="00A14A33" w14:paraId="2E22710A" w14:textId="77777777" w:rsidTr="00772E4B">
        <w:tc>
          <w:tcPr>
            <w:tcW w:w="10622" w:type="dxa"/>
            <w:shd w:val="clear" w:color="auto" w:fill="auto"/>
            <w:tcMar>
              <w:top w:w="100" w:type="dxa"/>
              <w:left w:w="100" w:type="dxa"/>
              <w:bottom w:w="100" w:type="dxa"/>
              <w:right w:w="100" w:type="dxa"/>
            </w:tcMar>
          </w:tcPr>
          <w:p w14:paraId="0B288FD4" w14:textId="128E2936" w:rsidR="00A14A33" w:rsidRDefault="00000000">
            <w:pPr>
              <w:widowControl w:val="0"/>
              <w:spacing w:after="0" w:line="240" w:lineRule="auto"/>
              <w:jc w:val="both"/>
              <w:rPr>
                <w:rFonts w:ascii="Arial" w:eastAsia="Arial" w:hAnsi="Arial" w:cs="Arial"/>
                <w:sz w:val="24"/>
                <w:szCs w:val="24"/>
              </w:rPr>
            </w:pPr>
            <w:r>
              <w:rPr>
                <w:rFonts w:ascii="Arial" w:eastAsia="Arial" w:hAnsi="Arial" w:cs="Arial"/>
                <w:sz w:val="24"/>
                <w:szCs w:val="24"/>
              </w:rPr>
              <w:lastRenderedPageBreak/>
              <w:t>Document 3. La position stratégique prise par TENCENT</w:t>
            </w:r>
            <w:r w:rsidR="00CC0473">
              <w:rPr>
                <w:rStyle w:val="Appelnotedebasdep"/>
                <w:rFonts w:ascii="Arial" w:eastAsia="Arial" w:hAnsi="Arial" w:cs="Arial"/>
                <w:sz w:val="24"/>
                <w:szCs w:val="24"/>
              </w:rPr>
              <w:footnoteReference w:id="1"/>
            </w:r>
            <w:r>
              <w:rPr>
                <w:rFonts w:ascii="Arial" w:eastAsia="Arial" w:hAnsi="Arial" w:cs="Arial"/>
                <w:sz w:val="24"/>
                <w:szCs w:val="24"/>
              </w:rPr>
              <w:t xml:space="preserve"> en 2022</w:t>
            </w:r>
          </w:p>
        </w:tc>
      </w:tr>
      <w:tr w:rsidR="00A14A33" w14:paraId="039F7521" w14:textId="77777777" w:rsidTr="00772E4B">
        <w:trPr>
          <w:trHeight w:val="1231"/>
        </w:trPr>
        <w:tc>
          <w:tcPr>
            <w:tcW w:w="10622" w:type="dxa"/>
            <w:shd w:val="clear" w:color="auto" w:fill="auto"/>
            <w:tcMar>
              <w:top w:w="100" w:type="dxa"/>
              <w:left w:w="100" w:type="dxa"/>
              <w:bottom w:w="100" w:type="dxa"/>
              <w:right w:w="100" w:type="dxa"/>
            </w:tcMar>
          </w:tcPr>
          <w:p w14:paraId="7A575687" w14:textId="48397DA5" w:rsidR="00A14A33" w:rsidRDefault="00000000">
            <w:pPr>
              <w:spacing w:after="0" w:line="240" w:lineRule="auto"/>
              <w:jc w:val="both"/>
              <w:rPr>
                <w:rFonts w:ascii="Arial" w:eastAsia="Arial" w:hAnsi="Arial" w:cs="Arial"/>
                <w:color w:val="FF0000"/>
                <w:sz w:val="24"/>
                <w:szCs w:val="24"/>
              </w:rPr>
            </w:pPr>
            <w:r>
              <w:rPr>
                <w:rFonts w:ascii="Arial" w:eastAsia="Arial" w:hAnsi="Arial" w:cs="Arial"/>
                <w:b/>
                <w:sz w:val="24"/>
                <w:szCs w:val="24"/>
              </w:rPr>
              <w:t>2022</w:t>
            </w:r>
            <w:r>
              <w:rPr>
                <w:rFonts w:ascii="Arial" w:eastAsia="Arial" w:hAnsi="Arial" w:cs="Arial"/>
                <w:sz w:val="24"/>
                <w:szCs w:val="24"/>
              </w:rPr>
              <w:t xml:space="preserve"> : </w:t>
            </w:r>
            <w:proofErr w:type="spellStart"/>
            <w:r>
              <w:rPr>
                <w:rFonts w:ascii="Arial" w:eastAsia="Arial" w:hAnsi="Arial" w:cs="Arial"/>
                <w:sz w:val="24"/>
                <w:szCs w:val="24"/>
              </w:rPr>
              <w:t>Tencent</w:t>
            </w:r>
            <w:proofErr w:type="spellEnd"/>
            <w:r>
              <w:rPr>
                <w:rFonts w:ascii="Arial" w:eastAsia="Arial" w:hAnsi="Arial" w:cs="Arial"/>
                <w:sz w:val="24"/>
                <w:szCs w:val="24"/>
              </w:rPr>
              <w:t xml:space="preserve"> augmente sa participation dans Ubisoft et rachète une partie des actions des fondateurs. Bien que cela n'entraîne pas directement une augmentation de capital social, cela modifie la répartition des actions entre actionnaires. L’entreprise chinoise décide de racheter 44 % des parts détenues par la famille Guillemot.</w:t>
            </w:r>
            <w:r>
              <w:rPr>
                <w:rFonts w:ascii="Arial" w:eastAsia="Arial" w:hAnsi="Arial" w:cs="Arial"/>
                <w:color w:val="FF0000"/>
                <w:sz w:val="24"/>
                <w:szCs w:val="24"/>
              </w:rPr>
              <w:t xml:space="preserve">  </w:t>
            </w:r>
          </w:p>
        </w:tc>
      </w:tr>
    </w:tbl>
    <w:p w14:paraId="6A6E825A" w14:textId="261E43BC" w:rsidR="00A14A33" w:rsidRDefault="00000000">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b/>
          <w:sz w:val="24"/>
          <w:szCs w:val="24"/>
        </w:rPr>
      </w:pPr>
      <w:r>
        <w:rPr>
          <w:rFonts w:ascii="Arial" w:eastAsia="Arial" w:hAnsi="Arial" w:cs="Arial"/>
          <w:b/>
          <w:sz w:val="24"/>
          <w:szCs w:val="24"/>
        </w:rPr>
        <w:t>3.</w:t>
      </w:r>
      <w:r>
        <w:rPr>
          <w:rFonts w:ascii="Arial" w:eastAsia="Arial" w:hAnsi="Arial" w:cs="Arial"/>
          <w:sz w:val="24"/>
          <w:szCs w:val="24"/>
        </w:rPr>
        <w:t xml:space="preserve"> </w:t>
      </w:r>
      <w:r>
        <w:rPr>
          <w:rFonts w:ascii="Arial" w:eastAsia="Arial" w:hAnsi="Arial" w:cs="Arial"/>
          <w:b/>
          <w:sz w:val="24"/>
          <w:szCs w:val="24"/>
        </w:rPr>
        <w:t xml:space="preserve">Calculer le pourcentage obtenu par TENCENT après leur rachat d’une partie du capital social détenu par la famille Guillemot. En déduire le montant, en euro, du capital social que possède TENCENT en 2022. </w:t>
      </w:r>
    </w:p>
    <w:p w14:paraId="394F8E2E" w14:textId="77777777" w:rsidR="00A14A33" w:rsidRDefault="00000000">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ind w:left="20"/>
        <w:jc w:val="both"/>
        <w:rPr>
          <w:rFonts w:ascii="Arial" w:eastAsia="Arial" w:hAnsi="Arial" w:cs="Arial"/>
          <w:b/>
          <w:sz w:val="24"/>
          <w:szCs w:val="24"/>
        </w:rPr>
      </w:pPr>
      <w:r>
        <w:rPr>
          <w:rFonts w:ascii="Arial" w:eastAsia="Arial" w:hAnsi="Arial" w:cs="Arial"/>
          <w:b/>
          <w:sz w:val="24"/>
          <w:szCs w:val="24"/>
        </w:rPr>
        <w:t xml:space="preserve">4. En s’aidant des dernières questions, présenter sous la forme d’un unique tableau la répartition du capital social, d’abord en pourcentage puis ensuite en euro de l’entreprise Ubisoft en 2022. </w:t>
      </w:r>
    </w:p>
    <w:p w14:paraId="3C0E4B09" w14:textId="77777777" w:rsidR="00A14A33" w:rsidRDefault="00A14A33">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b/>
          <w:sz w:val="24"/>
          <w:szCs w:val="24"/>
        </w:rPr>
      </w:pPr>
    </w:p>
    <w:tbl>
      <w:tblPr>
        <w:tblStyle w:val="af4"/>
        <w:tblW w:w="1019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2"/>
        <w:gridCol w:w="2693"/>
        <w:gridCol w:w="2551"/>
      </w:tblGrid>
      <w:tr w:rsidR="00A14A33" w14:paraId="326138F3" w14:textId="77777777" w:rsidTr="00772E4B">
        <w:trPr>
          <w:trHeight w:val="440"/>
          <w:jc w:val="center"/>
        </w:trPr>
        <w:tc>
          <w:tcPr>
            <w:tcW w:w="4952" w:type="dxa"/>
            <w:shd w:val="clear" w:color="auto" w:fill="auto"/>
            <w:tcMar>
              <w:top w:w="100" w:type="dxa"/>
              <w:left w:w="100" w:type="dxa"/>
              <w:bottom w:w="100" w:type="dxa"/>
              <w:right w:w="100" w:type="dxa"/>
            </w:tcMar>
          </w:tcPr>
          <w:p w14:paraId="0B616753" w14:textId="3183E27C" w:rsidR="00A14A33" w:rsidRDefault="00000000">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 xml:space="preserve">Acteurs </w:t>
            </w:r>
          </w:p>
        </w:tc>
        <w:tc>
          <w:tcPr>
            <w:tcW w:w="2693" w:type="dxa"/>
            <w:shd w:val="clear" w:color="auto" w:fill="auto"/>
            <w:tcMar>
              <w:top w:w="100" w:type="dxa"/>
              <w:left w:w="100" w:type="dxa"/>
              <w:bottom w:w="100" w:type="dxa"/>
              <w:right w:w="100" w:type="dxa"/>
            </w:tcMar>
          </w:tcPr>
          <w:p w14:paraId="32C58078" w14:textId="77777777" w:rsidR="00A14A33" w:rsidRDefault="00000000">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Part détenue (en %)</w:t>
            </w:r>
          </w:p>
        </w:tc>
        <w:tc>
          <w:tcPr>
            <w:tcW w:w="2551" w:type="dxa"/>
            <w:shd w:val="clear" w:color="auto" w:fill="auto"/>
            <w:tcMar>
              <w:top w:w="100" w:type="dxa"/>
              <w:left w:w="100" w:type="dxa"/>
              <w:bottom w:w="100" w:type="dxa"/>
              <w:right w:w="100" w:type="dxa"/>
            </w:tcMar>
          </w:tcPr>
          <w:p w14:paraId="5DDE409A" w14:textId="77777777" w:rsidR="00A14A33" w:rsidRDefault="00000000">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Montant détenu (en million d’euros)</w:t>
            </w:r>
          </w:p>
        </w:tc>
      </w:tr>
      <w:tr w:rsidR="00A14A33" w14:paraId="2C53E8C7" w14:textId="77777777" w:rsidTr="00772E4B">
        <w:trPr>
          <w:trHeight w:val="282"/>
          <w:jc w:val="center"/>
        </w:trPr>
        <w:tc>
          <w:tcPr>
            <w:tcW w:w="4952" w:type="dxa"/>
            <w:shd w:val="clear" w:color="auto" w:fill="auto"/>
            <w:tcMar>
              <w:top w:w="100" w:type="dxa"/>
              <w:left w:w="100" w:type="dxa"/>
              <w:bottom w:w="100" w:type="dxa"/>
              <w:right w:w="100" w:type="dxa"/>
            </w:tcMar>
            <w:vAlign w:val="center"/>
          </w:tcPr>
          <w:p w14:paraId="56D2966C" w14:textId="77777777" w:rsidR="00A14A33" w:rsidRDefault="00000000" w:rsidP="00772E4B">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Famille Guillemot</w:t>
            </w:r>
          </w:p>
        </w:tc>
        <w:tc>
          <w:tcPr>
            <w:tcW w:w="2693" w:type="dxa"/>
            <w:shd w:val="clear" w:color="auto" w:fill="auto"/>
            <w:tcMar>
              <w:top w:w="100" w:type="dxa"/>
              <w:left w:w="100" w:type="dxa"/>
              <w:bottom w:w="100" w:type="dxa"/>
              <w:right w:w="100" w:type="dxa"/>
            </w:tcMar>
            <w:vAlign w:val="center"/>
          </w:tcPr>
          <w:p w14:paraId="67E18666" w14:textId="77777777" w:rsidR="00A14A33" w:rsidRDefault="00000000" w:rsidP="00772E4B">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14 *</w:t>
            </w:r>
          </w:p>
        </w:tc>
        <w:tc>
          <w:tcPr>
            <w:tcW w:w="2551" w:type="dxa"/>
            <w:shd w:val="clear" w:color="auto" w:fill="auto"/>
            <w:tcMar>
              <w:top w:w="100" w:type="dxa"/>
              <w:left w:w="100" w:type="dxa"/>
              <w:bottom w:w="100" w:type="dxa"/>
              <w:right w:w="100" w:type="dxa"/>
            </w:tcMar>
            <w:vAlign w:val="center"/>
          </w:tcPr>
          <w:p w14:paraId="51EDD6BD" w14:textId="77777777" w:rsidR="00A14A33" w:rsidRDefault="00000000" w:rsidP="00772E4B">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2,8 *</w:t>
            </w:r>
          </w:p>
        </w:tc>
      </w:tr>
      <w:tr w:rsidR="00A14A33" w14:paraId="0BBCE7B7" w14:textId="77777777" w:rsidTr="00772E4B">
        <w:trPr>
          <w:trHeight w:val="420"/>
          <w:jc w:val="center"/>
        </w:trPr>
        <w:tc>
          <w:tcPr>
            <w:tcW w:w="4952" w:type="dxa"/>
            <w:shd w:val="clear" w:color="auto" w:fill="auto"/>
            <w:tcMar>
              <w:top w:w="100" w:type="dxa"/>
              <w:left w:w="100" w:type="dxa"/>
              <w:bottom w:w="100" w:type="dxa"/>
              <w:right w:w="100" w:type="dxa"/>
            </w:tcMar>
            <w:vAlign w:val="center"/>
          </w:tcPr>
          <w:p w14:paraId="2A15E526" w14:textId="0D95DF04" w:rsidR="00A14A33" w:rsidRDefault="00000000" w:rsidP="00772E4B">
            <w:pPr>
              <w:spacing w:after="0" w:line="240" w:lineRule="auto"/>
              <w:jc w:val="center"/>
              <w:rPr>
                <w:rFonts w:ascii="Arial" w:eastAsia="Arial" w:hAnsi="Arial" w:cs="Arial"/>
                <w:b/>
                <w:i/>
                <w:sz w:val="24"/>
                <w:szCs w:val="24"/>
              </w:rPr>
            </w:pPr>
            <w:r>
              <w:rPr>
                <w:rFonts w:ascii="Arial" w:eastAsia="Arial" w:hAnsi="Arial" w:cs="Arial"/>
                <w:b/>
                <w:i/>
                <w:sz w:val="24"/>
                <w:szCs w:val="24"/>
              </w:rPr>
              <w:t>Investisseurs institutionnel, actionnaires publics et grandes entreprises</w:t>
            </w:r>
          </w:p>
        </w:tc>
        <w:tc>
          <w:tcPr>
            <w:tcW w:w="2693" w:type="dxa"/>
            <w:shd w:val="clear" w:color="auto" w:fill="auto"/>
            <w:tcMar>
              <w:top w:w="100" w:type="dxa"/>
              <w:left w:w="100" w:type="dxa"/>
              <w:bottom w:w="100" w:type="dxa"/>
              <w:right w:w="100" w:type="dxa"/>
            </w:tcMar>
            <w:vAlign w:val="center"/>
          </w:tcPr>
          <w:p w14:paraId="2504A7E4" w14:textId="77777777" w:rsidR="00A14A33" w:rsidRDefault="00000000" w:rsidP="00772E4B">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60</w:t>
            </w:r>
          </w:p>
        </w:tc>
        <w:tc>
          <w:tcPr>
            <w:tcW w:w="2551" w:type="dxa"/>
            <w:shd w:val="clear" w:color="auto" w:fill="auto"/>
            <w:tcMar>
              <w:top w:w="100" w:type="dxa"/>
              <w:left w:w="100" w:type="dxa"/>
              <w:bottom w:w="100" w:type="dxa"/>
              <w:right w:w="100" w:type="dxa"/>
            </w:tcMar>
            <w:vAlign w:val="center"/>
          </w:tcPr>
          <w:p w14:paraId="3EA99B70" w14:textId="77777777" w:rsidR="00A14A33" w:rsidRDefault="00000000" w:rsidP="00772E4B">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12</w:t>
            </w:r>
          </w:p>
        </w:tc>
      </w:tr>
      <w:tr w:rsidR="00A14A33" w14:paraId="72D499A5" w14:textId="77777777" w:rsidTr="00772E4B">
        <w:trPr>
          <w:trHeight w:val="275"/>
          <w:jc w:val="center"/>
        </w:trPr>
        <w:tc>
          <w:tcPr>
            <w:tcW w:w="4952" w:type="dxa"/>
            <w:shd w:val="clear" w:color="auto" w:fill="auto"/>
            <w:tcMar>
              <w:top w:w="100" w:type="dxa"/>
              <w:left w:w="100" w:type="dxa"/>
              <w:bottom w:w="100" w:type="dxa"/>
              <w:right w:w="100" w:type="dxa"/>
            </w:tcMar>
            <w:vAlign w:val="center"/>
          </w:tcPr>
          <w:p w14:paraId="69120AA8" w14:textId="77777777" w:rsidR="00A14A33" w:rsidRDefault="00000000" w:rsidP="00772E4B">
            <w:pPr>
              <w:spacing w:after="0" w:line="240" w:lineRule="auto"/>
              <w:jc w:val="center"/>
              <w:rPr>
                <w:rFonts w:ascii="Arial" w:eastAsia="Arial" w:hAnsi="Arial" w:cs="Arial"/>
                <w:b/>
                <w:i/>
                <w:sz w:val="24"/>
                <w:szCs w:val="24"/>
              </w:rPr>
            </w:pPr>
            <w:r>
              <w:rPr>
                <w:rFonts w:ascii="Arial" w:eastAsia="Arial" w:hAnsi="Arial" w:cs="Arial"/>
                <w:b/>
                <w:i/>
                <w:sz w:val="24"/>
                <w:szCs w:val="24"/>
              </w:rPr>
              <w:t>Actionnaires individuels</w:t>
            </w:r>
          </w:p>
        </w:tc>
        <w:tc>
          <w:tcPr>
            <w:tcW w:w="2693" w:type="dxa"/>
            <w:shd w:val="clear" w:color="auto" w:fill="auto"/>
            <w:tcMar>
              <w:top w:w="100" w:type="dxa"/>
              <w:left w:w="100" w:type="dxa"/>
              <w:bottom w:w="100" w:type="dxa"/>
              <w:right w:w="100" w:type="dxa"/>
            </w:tcMar>
            <w:vAlign w:val="center"/>
          </w:tcPr>
          <w:p w14:paraId="742FAB31" w14:textId="77777777" w:rsidR="00A14A33" w:rsidRDefault="00000000" w:rsidP="00772E4B">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15</w:t>
            </w:r>
          </w:p>
        </w:tc>
        <w:tc>
          <w:tcPr>
            <w:tcW w:w="2551" w:type="dxa"/>
            <w:shd w:val="clear" w:color="auto" w:fill="auto"/>
            <w:tcMar>
              <w:top w:w="100" w:type="dxa"/>
              <w:left w:w="100" w:type="dxa"/>
              <w:bottom w:w="100" w:type="dxa"/>
              <w:right w:w="100" w:type="dxa"/>
            </w:tcMar>
            <w:vAlign w:val="center"/>
          </w:tcPr>
          <w:p w14:paraId="63C760AC" w14:textId="77777777" w:rsidR="00A14A33" w:rsidRDefault="00000000" w:rsidP="00772E4B">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3</w:t>
            </w:r>
          </w:p>
        </w:tc>
      </w:tr>
      <w:tr w:rsidR="00A14A33" w14:paraId="1BAED22F" w14:textId="77777777" w:rsidTr="00772E4B">
        <w:trPr>
          <w:trHeight w:val="211"/>
          <w:jc w:val="center"/>
        </w:trPr>
        <w:tc>
          <w:tcPr>
            <w:tcW w:w="4952" w:type="dxa"/>
            <w:shd w:val="clear" w:color="auto" w:fill="auto"/>
            <w:tcMar>
              <w:top w:w="100" w:type="dxa"/>
              <w:left w:w="100" w:type="dxa"/>
              <w:bottom w:w="100" w:type="dxa"/>
              <w:right w:w="100" w:type="dxa"/>
            </w:tcMar>
            <w:vAlign w:val="center"/>
          </w:tcPr>
          <w:p w14:paraId="6117561C" w14:textId="77777777" w:rsidR="00A14A33" w:rsidRDefault="00000000" w:rsidP="00772E4B">
            <w:pPr>
              <w:spacing w:after="0" w:line="240" w:lineRule="auto"/>
              <w:jc w:val="center"/>
              <w:rPr>
                <w:rFonts w:ascii="Arial" w:eastAsia="Arial" w:hAnsi="Arial" w:cs="Arial"/>
                <w:b/>
                <w:i/>
                <w:sz w:val="24"/>
                <w:szCs w:val="24"/>
              </w:rPr>
            </w:pPr>
            <w:proofErr w:type="spellStart"/>
            <w:r>
              <w:rPr>
                <w:rFonts w:ascii="Arial" w:eastAsia="Arial" w:hAnsi="Arial" w:cs="Arial"/>
                <w:b/>
                <w:i/>
                <w:sz w:val="24"/>
                <w:szCs w:val="24"/>
              </w:rPr>
              <w:t>Tencent</w:t>
            </w:r>
            <w:proofErr w:type="spellEnd"/>
          </w:p>
        </w:tc>
        <w:tc>
          <w:tcPr>
            <w:tcW w:w="2693" w:type="dxa"/>
            <w:shd w:val="clear" w:color="auto" w:fill="auto"/>
            <w:tcMar>
              <w:top w:w="100" w:type="dxa"/>
              <w:left w:w="100" w:type="dxa"/>
              <w:bottom w:w="100" w:type="dxa"/>
              <w:right w:w="100" w:type="dxa"/>
            </w:tcMar>
            <w:vAlign w:val="center"/>
          </w:tcPr>
          <w:p w14:paraId="574F6416" w14:textId="77777777" w:rsidR="00A14A33" w:rsidRDefault="00000000" w:rsidP="00772E4B">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11</w:t>
            </w:r>
          </w:p>
        </w:tc>
        <w:tc>
          <w:tcPr>
            <w:tcW w:w="2551" w:type="dxa"/>
            <w:shd w:val="clear" w:color="auto" w:fill="auto"/>
            <w:tcMar>
              <w:top w:w="100" w:type="dxa"/>
              <w:left w:w="100" w:type="dxa"/>
              <w:bottom w:w="100" w:type="dxa"/>
              <w:right w:w="100" w:type="dxa"/>
            </w:tcMar>
            <w:vAlign w:val="center"/>
          </w:tcPr>
          <w:p w14:paraId="1BBF79C2" w14:textId="77777777" w:rsidR="00A14A33" w:rsidRDefault="00000000" w:rsidP="00772E4B">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2,2</w:t>
            </w:r>
          </w:p>
        </w:tc>
      </w:tr>
      <w:tr w:rsidR="00A14A33" w14:paraId="4677E84A" w14:textId="77777777" w:rsidTr="00772E4B">
        <w:trPr>
          <w:jc w:val="center"/>
        </w:trPr>
        <w:tc>
          <w:tcPr>
            <w:tcW w:w="4952" w:type="dxa"/>
            <w:shd w:val="clear" w:color="auto" w:fill="999999"/>
            <w:tcMar>
              <w:top w:w="100" w:type="dxa"/>
              <w:left w:w="100" w:type="dxa"/>
              <w:bottom w:w="100" w:type="dxa"/>
              <w:right w:w="100" w:type="dxa"/>
            </w:tcMar>
          </w:tcPr>
          <w:p w14:paraId="1CC20C39" w14:textId="77777777" w:rsidR="00A14A33" w:rsidRDefault="00000000">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Total</w:t>
            </w:r>
          </w:p>
        </w:tc>
        <w:tc>
          <w:tcPr>
            <w:tcW w:w="2693" w:type="dxa"/>
            <w:shd w:val="clear" w:color="auto" w:fill="999999"/>
            <w:tcMar>
              <w:top w:w="100" w:type="dxa"/>
              <w:left w:w="100" w:type="dxa"/>
              <w:bottom w:w="100" w:type="dxa"/>
              <w:right w:w="100" w:type="dxa"/>
            </w:tcMar>
          </w:tcPr>
          <w:p w14:paraId="5B5BB48E" w14:textId="77777777" w:rsidR="00A14A33" w:rsidRDefault="00000000">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100</w:t>
            </w:r>
          </w:p>
        </w:tc>
        <w:tc>
          <w:tcPr>
            <w:tcW w:w="2551" w:type="dxa"/>
            <w:shd w:val="clear" w:color="auto" w:fill="999999"/>
            <w:tcMar>
              <w:top w:w="100" w:type="dxa"/>
              <w:left w:w="100" w:type="dxa"/>
              <w:bottom w:w="100" w:type="dxa"/>
              <w:right w:w="100" w:type="dxa"/>
            </w:tcMar>
          </w:tcPr>
          <w:p w14:paraId="682AA139" w14:textId="0FEA7B2B" w:rsidR="00A14A33" w:rsidRDefault="00000000">
            <w:pPr>
              <w:widowControl w:val="0"/>
              <w:spacing w:after="0" w:line="240" w:lineRule="auto"/>
              <w:jc w:val="center"/>
              <w:rPr>
                <w:rFonts w:ascii="Arial" w:eastAsia="Arial" w:hAnsi="Arial" w:cs="Arial"/>
                <w:b/>
                <w:i/>
                <w:sz w:val="24"/>
                <w:szCs w:val="24"/>
              </w:rPr>
            </w:pPr>
            <w:r>
              <w:rPr>
                <w:rFonts w:ascii="Arial" w:eastAsia="Arial" w:hAnsi="Arial" w:cs="Arial"/>
                <w:b/>
                <w:i/>
                <w:sz w:val="24"/>
                <w:szCs w:val="24"/>
              </w:rPr>
              <w:t>20</w:t>
            </w:r>
          </w:p>
        </w:tc>
      </w:tr>
    </w:tbl>
    <w:p w14:paraId="4D259109" w14:textId="77777777" w:rsidR="00CC0473" w:rsidRDefault="00CC0473" w:rsidP="00CC0473">
      <w:pPr>
        <w:spacing w:after="0" w:line="240" w:lineRule="auto"/>
        <w:jc w:val="both"/>
        <w:rPr>
          <w:rFonts w:ascii="Arial" w:eastAsia="Arial" w:hAnsi="Arial" w:cs="Arial"/>
          <w:b/>
          <w:sz w:val="24"/>
          <w:szCs w:val="24"/>
        </w:rPr>
      </w:pPr>
    </w:p>
    <w:p w14:paraId="4FFE88BE" w14:textId="6160799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5. Représenter cette nouvelle répartition du capital social sous forme de graphique adapté.</w:t>
      </w:r>
    </w:p>
    <w:p w14:paraId="3AB91601" w14:textId="77777777" w:rsidR="00CC0473" w:rsidRDefault="00CC0473" w:rsidP="00CC0473">
      <w:pPr>
        <w:spacing w:after="0" w:line="240" w:lineRule="auto"/>
        <w:jc w:val="both"/>
        <w:rPr>
          <w:rFonts w:ascii="Arial" w:eastAsia="Arial" w:hAnsi="Arial" w:cs="Arial"/>
          <w:b/>
          <w:sz w:val="24"/>
          <w:szCs w:val="24"/>
        </w:rPr>
      </w:pPr>
    </w:p>
    <w:p w14:paraId="07749C31" w14:textId="77777777" w:rsidR="00A14A33" w:rsidRPr="00772E4B" w:rsidRDefault="00000000">
      <w:pPr>
        <w:numPr>
          <w:ilvl w:val="0"/>
          <w:numId w:val="9"/>
        </w:numPr>
        <w:spacing w:before="240" w:after="0" w:line="276" w:lineRule="auto"/>
        <w:rPr>
          <w:rFonts w:ascii="Arial" w:eastAsia="Arial" w:hAnsi="Arial" w:cs="Arial"/>
          <w:b/>
        </w:rPr>
      </w:pPr>
      <w:r>
        <w:rPr>
          <w:rFonts w:ascii="Arial" w:eastAsia="Arial" w:hAnsi="Arial" w:cs="Arial"/>
          <w:b/>
          <w:i/>
          <w:sz w:val="24"/>
          <w:szCs w:val="24"/>
          <w:highlight w:val="white"/>
        </w:rPr>
        <w:t>La structure de propriété et le pouvoir de décisio</w:t>
      </w:r>
      <w:r>
        <w:rPr>
          <w:rFonts w:ascii="Arial" w:eastAsia="Arial" w:hAnsi="Arial" w:cs="Arial"/>
          <w:b/>
          <w:i/>
          <w:sz w:val="24"/>
          <w:szCs w:val="24"/>
        </w:rPr>
        <w:t>n</w:t>
      </w:r>
    </w:p>
    <w:p w14:paraId="355EA75F" w14:textId="77777777" w:rsidR="00772E4B" w:rsidRDefault="00772E4B" w:rsidP="00772E4B">
      <w:pPr>
        <w:spacing w:after="0" w:line="240" w:lineRule="auto"/>
        <w:ind w:left="720"/>
        <w:rPr>
          <w:rFonts w:ascii="Arial" w:eastAsia="Arial" w:hAnsi="Arial" w:cs="Arial"/>
          <w:b/>
        </w:rPr>
      </w:pPr>
    </w:p>
    <w:tbl>
      <w:tblPr>
        <w:tblStyle w:val="af5"/>
        <w:tblW w:w="1065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2"/>
      </w:tblGrid>
      <w:tr w:rsidR="00A14A33" w14:paraId="418EF6FD" w14:textId="77777777" w:rsidTr="00772E4B">
        <w:tc>
          <w:tcPr>
            <w:tcW w:w="10652" w:type="dxa"/>
            <w:shd w:val="clear" w:color="auto" w:fill="auto"/>
            <w:tcMar>
              <w:top w:w="100" w:type="dxa"/>
              <w:left w:w="100" w:type="dxa"/>
              <w:bottom w:w="100" w:type="dxa"/>
              <w:right w:w="100" w:type="dxa"/>
            </w:tcMar>
          </w:tcPr>
          <w:p w14:paraId="43C6ED6B" w14:textId="17B78D9C" w:rsidR="00A14A33" w:rsidRDefault="00000000">
            <w:pPr>
              <w:widowControl w:val="0"/>
              <w:spacing w:after="0" w:line="240" w:lineRule="auto"/>
              <w:jc w:val="both"/>
              <w:rPr>
                <w:rFonts w:ascii="Arial" w:eastAsia="Arial" w:hAnsi="Arial" w:cs="Arial"/>
                <w:sz w:val="24"/>
                <w:szCs w:val="24"/>
              </w:rPr>
            </w:pPr>
            <w:r>
              <w:rPr>
                <w:rFonts w:ascii="Arial" w:eastAsia="Arial" w:hAnsi="Arial" w:cs="Arial"/>
                <w:sz w:val="24"/>
                <w:szCs w:val="24"/>
              </w:rPr>
              <w:t>Document 4. Rester maître des décisions</w:t>
            </w:r>
          </w:p>
        </w:tc>
      </w:tr>
      <w:tr w:rsidR="00A14A33" w14:paraId="65EEE77A" w14:textId="77777777" w:rsidTr="00772E4B">
        <w:tc>
          <w:tcPr>
            <w:tcW w:w="10652" w:type="dxa"/>
            <w:shd w:val="clear" w:color="auto" w:fill="auto"/>
            <w:tcMar>
              <w:top w:w="100" w:type="dxa"/>
              <w:left w:w="100" w:type="dxa"/>
              <w:bottom w:w="100" w:type="dxa"/>
              <w:right w:w="100" w:type="dxa"/>
            </w:tcMar>
          </w:tcPr>
          <w:p w14:paraId="24A62EF0" w14:textId="77777777" w:rsidR="00A14A3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00" w:line="240" w:lineRule="auto"/>
              <w:jc w:val="both"/>
              <w:rPr>
                <w:rFonts w:ascii="Arial" w:eastAsia="Arial" w:hAnsi="Arial" w:cs="Arial"/>
              </w:rPr>
            </w:pPr>
            <w:r>
              <w:rPr>
                <w:rFonts w:ascii="Arial" w:eastAsia="Arial" w:hAnsi="Arial" w:cs="Arial"/>
              </w:rPr>
              <w:t>La détention de plus de 50% du capital social d’une société permet de contrôler les décisions prises par l’Assemblée générale ordinaire des associés. Or, l’Assemblée générale ordinaire est en principe dotée de pouvoirs clefs, à savoir notamment :</w:t>
            </w:r>
          </w:p>
          <w:p w14:paraId="16637DAA" w14:textId="77777777" w:rsidR="00A14A33"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rPr>
            </w:pPr>
            <w:proofErr w:type="gramStart"/>
            <w:r>
              <w:rPr>
                <w:rFonts w:ascii="Arial" w:eastAsia="Arial" w:hAnsi="Arial" w:cs="Arial"/>
              </w:rPr>
              <w:t>nommer</w:t>
            </w:r>
            <w:proofErr w:type="gramEnd"/>
            <w:r>
              <w:rPr>
                <w:rFonts w:ascii="Arial" w:eastAsia="Arial" w:hAnsi="Arial" w:cs="Arial"/>
              </w:rPr>
              <w:t xml:space="preserve"> et révoquer les dirigeants de la société, et fixer leur rémunération.</w:t>
            </w:r>
          </w:p>
          <w:p w14:paraId="01D89962" w14:textId="77777777" w:rsidR="00A14A33"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rPr>
            </w:pPr>
            <w:proofErr w:type="gramStart"/>
            <w:r>
              <w:rPr>
                <w:rFonts w:ascii="Arial" w:eastAsia="Arial" w:hAnsi="Arial" w:cs="Arial"/>
              </w:rPr>
              <w:t>approuver</w:t>
            </w:r>
            <w:proofErr w:type="gramEnd"/>
            <w:r>
              <w:rPr>
                <w:rFonts w:ascii="Arial" w:eastAsia="Arial" w:hAnsi="Arial" w:cs="Arial"/>
              </w:rPr>
              <w:t xml:space="preserve"> les comptes de la société, en affecter les bénéfices (dividendes ou mise en réserve) et les pertes.</w:t>
            </w:r>
          </w:p>
          <w:p w14:paraId="6D810809" w14:textId="77777777" w:rsidR="00A14A33"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300" w:line="240" w:lineRule="auto"/>
              <w:jc w:val="both"/>
              <w:rPr>
                <w:rFonts w:ascii="Arial" w:eastAsia="Arial" w:hAnsi="Arial" w:cs="Arial"/>
              </w:rPr>
            </w:pPr>
            <w:proofErr w:type="gramStart"/>
            <w:r>
              <w:rPr>
                <w:rFonts w:ascii="Arial" w:eastAsia="Arial" w:hAnsi="Arial" w:cs="Arial"/>
              </w:rPr>
              <w:t>approuver</w:t>
            </w:r>
            <w:proofErr w:type="gramEnd"/>
            <w:r>
              <w:rPr>
                <w:rFonts w:ascii="Arial" w:eastAsia="Arial" w:hAnsi="Arial" w:cs="Arial"/>
              </w:rPr>
              <w:t xml:space="preserve"> les contrats conclus entre la société et un dirigeant ou un associé significatif.</w:t>
            </w:r>
          </w:p>
          <w:p w14:paraId="0A1E2D66" w14:textId="77777777" w:rsidR="00A14A3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00" w:line="240" w:lineRule="auto"/>
              <w:jc w:val="both"/>
              <w:rPr>
                <w:rFonts w:ascii="Arial" w:eastAsia="Arial" w:hAnsi="Arial" w:cs="Arial"/>
              </w:rPr>
            </w:pPr>
            <w:r>
              <w:rPr>
                <w:rFonts w:ascii="Arial" w:eastAsia="Arial" w:hAnsi="Arial" w:cs="Arial"/>
              </w:rPr>
              <w:t>Par conséquent, l’associé détenant plus de 50% du capital – par exemple 501 actions d’une société dont le capital est composé de 1000 actions – sera à en position de nommer ses dirigeants (Président et Directeur général d’une SAS, Gérant d’une SARL, Conseil d’administration d’une SA…).</w:t>
            </w:r>
          </w:p>
          <w:p w14:paraId="42C04A4B" w14:textId="1B9D5FDD" w:rsidR="00A14A33" w:rsidRDefault="00000000">
            <w:pPr>
              <w:spacing w:after="0" w:line="240" w:lineRule="auto"/>
              <w:jc w:val="right"/>
              <w:rPr>
                <w:rFonts w:ascii="Arial" w:eastAsia="Arial" w:hAnsi="Arial" w:cs="Arial"/>
                <w:i/>
              </w:rPr>
            </w:pPr>
            <w:r>
              <w:rPr>
                <w:rFonts w:ascii="Arial" w:eastAsia="Arial" w:hAnsi="Arial" w:cs="Arial"/>
                <w:i/>
              </w:rPr>
              <w:t>Source</w:t>
            </w:r>
            <w:r w:rsidR="00CC0473">
              <w:rPr>
                <w:rFonts w:ascii="Arial" w:eastAsia="Arial" w:hAnsi="Arial" w:cs="Arial"/>
                <w:i/>
              </w:rPr>
              <w:t xml:space="preserve"> </w:t>
            </w:r>
            <w:r>
              <w:rPr>
                <w:rFonts w:ascii="Arial" w:eastAsia="Arial" w:hAnsi="Arial" w:cs="Arial"/>
                <w:i/>
              </w:rPr>
              <w:t xml:space="preserve">: cabinet </w:t>
            </w:r>
            <w:proofErr w:type="spellStart"/>
            <w:r>
              <w:rPr>
                <w:rFonts w:ascii="Arial" w:eastAsia="Arial" w:hAnsi="Arial" w:cs="Arial"/>
                <w:i/>
              </w:rPr>
              <w:t>Billand</w:t>
            </w:r>
            <w:proofErr w:type="spellEnd"/>
            <w:r>
              <w:rPr>
                <w:rFonts w:ascii="Arial" w:eastAsia="Arial" w:hAnsi="Arial" w:cs="Arial"/>
                <w:i/>
              </w:rPr>
              <w:t xml:space="preserve"> § </w:t>
            </w:r>
            <w:proofErr w:type="spellStart"/>
            <w:r>
              <w:rPr>
                <w:rFonts w:ascii="Arial" w:eastAsia="Arial" w:hAnsi="Arial" w:cs="Arial"/>
                <w:i/>
              </w:rPr>
              <w:t>Messié</w:t>
            </w:r>
            <w:proofErr w:type="spellEnd"/>
          </w:p>
        </w:tc>
      </w:tr>
    </w:tbl>
    <w:p w14:paraId="1933110F" w14:textId="77777777" w:rsidR="00A14A33" w:rsidRDefault="00A14A33">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b/>
          <w:sz w:val="24"/>
          <w:szCs w:val="24"/>
        </w:rPr>
      </w:pPr>
    </w:p>
    <w:tbl>
      <w:tblPr>
        <w:tblStyle w:val="af6"/>
        <w:tblW w:w="106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2"/>
      </w:tblGrid>
      <w:tr w:rsidR="00A14A33" w14:paraId="5485A961" w14:textId="77777777" w:rsidTr="00772E4B">
        <w:tc>
          <w:tcPr>
            <w:tcW w:w="10622" w:type="dxa"/>
            <w:shd w:val="clear" w:color="auto" w:fill="auto"/>
            <w:tcMar>
              <w:top w:w="100" w:type="dxa"/>
              <w:left w:w="100" w:type="dxa"/>
              <w:bottom w:w="100" w:type="dxa"/>
              <w:right w:w="100" w:type="dxa"/>
            </w:tcMar>
          </w:tcPr>
          <w:p w14:paraId="572228D7" w14:textId="394D07F9" w:rsidR="00A14A33" w:rsidRDefault="00000000">
            <w:pPr>
              <w:widowControl w:val="0"/>
              <w:spacing w:after="0" w:line="240" w:lineRule="auto"/>
              <w:jc w:val="both"/>
              <w:rPr>
                <w:rFonts w:ascii="Arial" w:eastAsia="Arial" w:hAnsi="Arial" w:cs="Arial"/>
                <w:sz w:val="24"/>
                <w:szCs w:val="24"/>
              </w:rPr>
            </w:pPr>
            <w:r>
              <w:rPr>
                <w:rFonts w:ascii="Arial" w:eastAsia="Arial" w:hAnsi="Arial" w:cs="Arial"/>
                <w:sz w:val="24"/>
                <w:szCs w:val="24"/>
              </w:rPr>
              <w:t>Document 5. Détention du capital et droit de vote</w:t>
            </w:r>
          </w:p>
        </w:tc>
      </w:tr>
      <w:tr w:rsidR="00A14A33" w14:paraId="10DF08C6" w14:textId="77777777" w:rsidTr="00883D11">
        <w:trPr>
          <w:trHeight w:val="3921"/>
        </w:trPr>
        <w:tc>
          <w:tcPr>
            <w:tcW w:w="10622" w:type="dxa"/>
            <w:shd w:val="clear" w:color="auto" w:fill="auto"/>
            <w:tcMar>
              <w:top w:w="100" w:type="dxa"/>
              <w:left w:w="100" w:type="dxa"/>
              <w:bottom w:w="100" w:type="dxa"/>
              <w:right w:w="100" w:type="dxa"/>
            </w:tcMar>
          </w:tcPr>
          <w:p w14:paraId="26BFCFF2" w14:textId="797A7EF4" w:rsidR="00A14A33" w:rsidRDefault="00000000">
            <w:pPr>
              <w:spacing w:after="280" w:line="240" w:lineRule="auto"/>
              <w:jc w:val="both"/>
              <w:rPr>
                <w:rFonts w:ascii="Arial" w:eastAsia="Arial" w:hAnsi="Arial" w:cs="Arial"/>
                <w:i/>
              </w:rPr>
            </w:pPr>
            <w:r>
              <w:rPr>
                <w:rFonts w:ascii="Arial" w:eastAsia="Arial" w:hAnsi="Arial" w:cs="Arial"/>
              </w:rPr>
              <w:t>Si la règle « une action, une voix » s’applique à la grande majorité des détenteurs d’actions, le principe du droit de vote double accordé à certains actionnaires est fréquemment prévu dans les grandes entreprises. Ainsi,</w:t>
            </w:r>
            <w:r w:rsidR="00883D11">
              <w:rPr>
                <w:rFonts w:ascii="Arial" w:eastAsia="Arial" w:hAnsi="Arial" w:cs="Arial"/>
              </w:rPr>
              <w:t xml:space="preserve"> </w:t>
            </w:r>
            <w:r>
              <w:rPr>
                <w:rFonts w:ascii="Arial" w:eastAsia="Arial" w:hAnsi="Arial" w:cs="Arial"/>
              </w:rPr>
              <w:t>environ deux tiers des sociétés du CAC 40 et du SBF 120 l’ont adopté. A l’étranger, le droit de vote double existe aussi notamment aux États-Unis, en Suède ou en Italie</w:t>
            </w:r>
            <w:r>
              <w:rPr>
                <w:rFonts w:ascii="Arial" w:eastAsia="Arial" w:hAnsi="Arial" w:cs="Arial"/>
                <w:i/>
              </w:rPr>
              <w:t>.</w:t>
            </w:r>
          </w:p>
          <w:p w14:paraId="27994B5C" w14:textId="77777777" w:rsidR="00A14A33" w:rsidRDefault="00000000">
            <w:pPr>
              <w:spacing w:before="280" w:after="280" w:line="240" w:lineRule="auto"/>
              <w:jc w:val="both"/>
              <w:rPr>
                <w:rFonts w:ascii="Arial" w:eastAsia="Arial" w:hAnsi="Arial" w:cs="Arial"/>
              </w:rPr>
            </w:pPr>
            <w:r>
              <w:rPr>
                <w:rFonts w:ascii="Arial" w:eastAsia="Arial" w:hAnsi="Arial" w:cs="Arial"/>
              </w:rPr>
              <w:t xml:space="preserve">En règle générale, cet avantage est </w:t>
            </w:r>
            <w:r>
              <w:rPr>
                <w:rFonts w:ascii="Arial" w:eastAsia="Arial" w:hAnsi="Arial" w:cs="Arial"/>
                <w:b/>
              </w:rPr>
              <w:t>attribué aux actionnaires qui conservent leurs titres sur une période assez longue</w:t>
            </w:r>
            <w:r>
              <w:rPr>
                <w:rFonts w:ascii="Arial" w:eastAsia="Arial" w:hAnsi="Arial" w:cs="Arial"/>
              </w:rPr>
              <w:t xml:space="preserve"> et qui par là-même indiquent qu’ils souhaitent accompagner le </w:t>
            </w:r>
            <w:r>
              <w:rPr>
                <w:rFonts w:ascii="Arial" w:eastAsia="Arial" w:hAnsi="Arial" w:cs="Arial"/>
                <w:b/>
              </w:rPr>
              <w:t>développement de l’entreprise</w:t>
            </w:r>
            <w:r>
              <w:rPr>
                <w:rFonts w:ascii="Arial" w:eastAsia="Arial" w:hAnsi="Arial" w:cs="Arial"/>
              </w:rPr>
              <w:t xml:space="preserve"> et non réaliser une plus-value de court terme.</w:t>
            </w:r>
          </w:p>
          <w:p w14:paraId="3EECD719" w14:textId="77777777" w:rsidR="00A14A33" w:rsidRDefault="00000000" w:rsidP="00CC0473">
            <w:pPr>
              <w:spacing w:before="280" w:after="0" w:line="240" w:lineRule="auto"/>
              <w:jc w:val="both"/>
              <w:rPr>
                <w:rFonts w:ascii="Arial" w:eastAsia="Arial" w:hAnsi="Arial" w:cs="Arial"/>
              </w:rPr>
            </w:pPr>
            <w:r>
              <w:rPr>
                <w:rFonts w:ascii="Arial" w:eastAsia="Arial" w:hAnsi="Arial" w:cs="Arial"/>
              </w:rPr>
              <w:t xml:space="preserve">Pour les entreprises qui décident de recourir à cette mesure l’intérêt est de fidéliser les actionnaires « stables », c’est à dire ceux qui sont le plus à même de souscrire à des </w:t>
            </w:r>
            <w:r>
              <w:rPr>
                <w:rFonts w:ascii="Arial" w:eastAsia="Arial" w:hAnsi="Arial" w:cs="Arial"/>
                <w:b/>
              </w:rPr>
              <w:t>augmentations de capital futures</w:t>
            </w:r>
            <w:r>
              <w:rPr>
                <w:rFonts w:ascii="Arial" w:eastAsia="Arial" w:hAnsi="Arial" w:cs="Arial"/>
              </w:rPr>
              <w:t xml:space="preserve"> et à s’inscrire dans une logique de long terme. Il peut aussi s’agir de renforcer le pouvoir des gros actionnaires « de référence », ceux qui contrôlent effectivement l’entreprise par leur poids au capital, de façon à protéger l’entreprise de tentatives de prises de contrôle inamicales.</w:t>
            </w:r>
          </w:p>
          <w:p w14:paraId="1F04A949" w14:textId="387C823E" w:rsidR="00A14A33" w:rsidRDefault="00000000">
            <w:pPr>
              <w:spacing w:after="0" w:line="240" w:lineRule="auto"/>
              <w:jc w:val="right"/>
              <w:rPr>
                <w:rFonts w:ascii="Arial" w:eastAsia="Arial" w:hAnsi="Arial" w:cs="Arial"/>
                <w:i/>
              </w:rPr>
            </w:pPr>
            <w:r>
              <w:rPr>
                <w:rFonts w:ascii="Arial" w:eastAsia="Arial" w:hAnsi="Arial" w:cs="Arial"/>
                <w:i/>
              </w:rPr>
              <w:t>Source</w:t>
            </w:r>
            <w:r w:rsidR="00CC0473">
              <w:rPr>
                <w:rFonts w:ascii="Arial" w:eastAsia="Arial" w:hAnsi="Arial" w:cs="Arial"/>
                <w:i/>
              </w:rPr>
              <w:t xml:space="preserve"> </w:t>
            </w:r>
            <w:r>
              <w:rPr>
                <w:rFonts w:ascii="Arial" w:eastAsia="Arial" w:hAnsi="Arial" w:cs="Arial"/>
                <w:i/>
              </w:rPr>
              <w:t>: La finance pour tous</w:t>
            </w:r>
          </w:p>
        </w:tc>
      </w:tr>
    </w:tbl>
    <w:p w14:paraId="0351E19B" w14:textId="77777777" w:rsidR="00883D11" w:rsidRDefault="00883D11" w:rsidP="00883D11">
      <w:pPr>
        <w:rPr>
          <w:shd w:val="clear" w:color="auto" w:fill="CCCCCC"/>
        </w:rPr>
      </w:pPr>
    </w:p>
    <w:p w14:paraId="3BA77F62" w14:textId="77777777" w:rsidR="00883D11" w:rsidRPr="007F78B4" w:rsidRDefault="00883D11" w:rsidP="00883D11">
      <w:pPr>
        <w:rPr>
          <w:rFonts w:ascii="Arial" w:hAnsi="Arial" w:cs="Arial"/>
          <w:b/>
          <w:bCs/>
          <w:color w:val="339933"/>
        </w:rPr>
      </w:pPr>
      <w:r w:rsidRPr="007F78B4">
        <w:rPr>
          <w:rFonts w:ascii="Arial" w:hAnsi="Arial" w:cs="Arial"/>
          <w:b/>
          <w:bCs/>
          <w:color w:val="339933"/>
        </w:rPr>
        <w:t>Point Culture générale</w:t>
      </w:r>
    </w:p>
    <w:p w14:paraId="23CEA613" w14:textId="77777777" w:rsidR="00883D11" w:rsidRPr="007F78B4" w:rsidRDefault="00883D11" w:rsidP="00883D11">
      <w:pPr>
        <w:rPr>
          <w:rFonts w:ascii="Arial" w:hAnsi="Arial" w:cs="Arial"/>
          <w:color w:val="339933"/>
        </w:rPr>
      </w:pPr>
      <w:r w:rsidRPr="007F78B4">
        <w:rPr>
          <w:rFonts w:ascii="Arial" w:hAnsi="Arial" w:cs="Arial"/>
          <w:color w:val="339933"/>
        </w:rPr>
        <w:t>Le CAC40 (Cotation Assistée en Continu) a été créé en 1988, il est le symbole du marché boursier en France. Composé de 40 valeurs sélectionnées parmi les 100 premières capitalisations de la Bourse de Paris, un comité scientifique ajuste sa composition au fil de l'eau. Les</w:t>
      </w:r>
      <w:hyperlink r:id="rId11">
        <w:r w:rsidRPr="007F78B4">
          <w:rPr>
            <w:rStyle w:val="Lienhypertexte"/>
            <w:rFonts w:ascii="Arial" w:hAnsi="Arial" w:cs="Arial"/>
            <w:color w:val="339933"/>
          </w:rPr>
          <w:t xml:space="preserve"> titres qui composent le CAC 40</w:t>
        </w:r>
      </w:hyperlink>
      <w:r w:rsidRPr="007F78B4">
        <w:rPr>
          <w:rFonts w:ascii="Arial" w:hAnsi="Arial" w:cs="Arial"/>
          <w:color w:val="339933"/>
        </w:rPr>
        <w:t xml:space="preserve"> sont choisis en fonction de différents critères dont la capitalisation boursière, la liquidité (nombre de titres disponibles dans le public), le secteur d'activité et l'équilibre d'ensemble de l'indice.</w:t>
      </w:r>
    </w:p>
    <w:p w14:paraId="49C5E7B7" w14:textId="77777777" w:rsidR="00883D11" w:rsidRPr="007F78B4" w:rsidRDefault="00883D11" w:rsidP="00883D11">
      <w:pPr>
        <w:rPr>
          <w:rFonts w:ascii="Arial" w:hAnsi="Arial" w:cs="Arial"/>
          <w:color w:val="339933"/>
        </w:rPr>
      </w:pPr>
      <w:r w:rsidRPr="007F78B4">
        <w:rPr>
          <w:rFonts w:ascii="Arial" w:hAnsi="Arial" w:cs="Arial"/>
          <w:color w:val="339933"/>
        </w:rPr>
        <w:t xml:space="preserve">Créé le 31 décembre 1990, le SBF 120, diminutif de « Sociétés des Bourses Françaises », est un instrument faisant partie des plus importants </w:t>
      </w:r>
      <w:hyperlink r:id="rId12">
        <w:r w:rsidRPr="007F78B4">
          <w:rPr>
            <w:rStyle w:val="Lienhypertexte"/>
            <w:rFonts w:ascii="Arial" w:hAnsi="Arial" w:cs="Arial"/>
            <w:color w:val="339933"/>
          </w:rPr>
          <w:t>indices boursiers</w:t>
        </w:r>
      </w:hyperlink>
      <w:r w:rsidRPr="007F78B4">
        <w:rPr>
          <w:rFonts w:ascii="Arial" w:hAnsi="Arial" w:cs="Arial"/>
          <w:color w:val="339933"/>
        </w:rPr>
        <w:t xml:space="preserve"> d’Europe. Le terme « 120 » fait référence aux données des 120 sociétés françaises qui le composent. Il s’agit d’un indice boursier de référence de la bourse de Paris.</w:t>
      </w:r>
    </w:p>
    <w:p w14:paraId="1103036F" w14:textId="77777777" w:rsidR="00883D11" w:rsidRDefault="00883D11" w:rsidP="00883D11">
      <w:pPr>
        <w:rPr>
          <w:shd w:val="clear" w:color="auto" w:fill="CCCCCC"/>
        </w:rPr>
      </w:pPr>
    </w:p>
    <w:p w14:paraId="4991C45C" w14:textId="77777777" w:rsidR="00A14A33" w:rsidRPr="00125D7B" w:rsidRDefault="00000000">
      <w:pPr>
        <w:rPr>
          <w:rFonts w:ascii="Arial" w:eastAsia="Arial" w:hAnsi="Arial" w:cs="Arial"/>
          <w:sz w:val="24"/>
          <w:szCs w:val="24"/>
        </w:rPr>
      </w:pPr>
      <w:r w:rsidRPr="00125D7B">
        <w:rPr>
          <w:rFonts w:ascii="Arial" w:eastAsia="Arial" w:hAnsi="Arial" w:cs="Arial"/>
          <w:sz w:val="24"/>
          <w:szCs w:val="24"/>
        </w:rPr>
        <w:t>Au sein d’Ubisoft, l’avantage du droit de vote double est un privilège de la famille Guillemot grâce à son ancienneté.</w:t>
      </w:r>
    </w:p>
    <w:p w14:paraId="7826D8AE"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 xml:space="preserve">6. A partir du tableau de la question 4 et de l’aide ci-dessous, calculer les parts de vote de chaque acteur ou groupe d’acteurs. Les calculs seront arrondis à </w:t>
      </w:r>
      <m:oMath>
        <m:r>
          <m:rPr>
            <m:sty m:val="bi"/>
          </m:rPr>
          <w:rPr>
            <w:rFonts w:ascii="Arial" w:eastAsia="Arial" w:hAnsi="Arial" w:cs="Arial"/>
            <w:sz w:val="24"/>
            <w:szCs w:val="24"/>
          </w:rPr>
          <m:t>1</m:t>
        </m:r>
        <m:sSup>
          <m:sSupPr>
            <m:ctrlPr>
              <w:rPr>
                <w:rFonts w:ascii="Arial" w:eastAsia="Arial" w:hAnsi="Arial" w:cs="Arial"/>
                <w:b/>
                <w:sz w:val="24"/>
                <w:szCs w:val="24"/>
              </w:rPr>
            </m:ctrlPr>
          </m:sSupPr>
          <m:e>
            <m:r>
              <m:rPr>
                <m:sty m:val="bi"/>
              </m:rPr>
              <w:rPr>
                <w:rFonts w:ascii="Arial" w:eastAsia="Arial" w:hAnsi="Arial" w:cs="Arial"/>
                <w:sz w:val="24"/>
                <w:szCs w:val="24"/>
              </w:rPr>
              <m:t>0</m:t>
            </m:r>
          </m:e>
          <m:sup>
            <m:r>
              <m:rPr>
                <m:sty m:val="bi"/>
              </m:rPr>
              <w:rPr>
                <w:rFonts w:ascii="Arial" w:eastAsia="Arial" w:hAnsi="Arial" w:cs="Arial"/>
                <w:sz w:val="24"/>
                <w:szCs w:val="24"/>
              </w:rPr>
              <m:t>-2</m:t>
            </m:r>
          </m:sup>
        </m:sSup>
      </m:oMath>
      <w:r>
        <w:rPr>
          <w:rFonts w:ascii="Arial" w:eastAsia="Arial" w:hAnsi="Arial" w:cs="Arial"/>
          <w:b/>
          <w:sz w:val="24"/>
          <w:szCs w:val="24"/>
        </w:rPr>
        <w:t xml:space="preserve"> près.  </w:t>
      </w:r>
    </w:p>
    <w:p w14:paraId="33FBF24F" w14:textId="688F0ECD" w:rsidR="00125D7B" w:rsidRDefault="00000000" w:rsidP="00883D11">
      <w:pPr>
        <w:jc w:val="both"/>
        <w:rPr>
          <w:rFonts w:ascii="Arial" w:eastAsia="Arial" w:hAnsi="Arial" w:cs="Arial"/>
          <w:b/>
          <w:sz w:val="24"/>
          <w:szCs w:val="24"/>
        </w:rPr>
      </w:pPr>
      <w:r>
        <w:rPr>
          <w:rFonts w:ascii="Arial" w:eastAsia="Arial" w:hAnsi="Arial" w:cs="Arial"/>
          <w:b/>
          <w:i/>
          <w:sz w:val="24"/>
          <w:szCs w:val="24"/>
          <w:u w:val="single"/>
        </w:rPr>
        <w:t>Aide :</w:t>
      </w:r>
      <w:r>
        <w:rPr>
          <w:rFonts w:ascii="Arial" w:eastAsia="Arial" w:hAnsi="Arial" w:cs="Arial"/>
          <w:sz w:val="24"/>
          <w:szCs w:val="24"/>
        </w:rPr>
        <w:t xml:space="preserve"> </w:t>
      </w:r>
      <w:r>
        <w:rPr>
          <w:rFonts w:ascii="Arial" w:eastAsia="Arial" w:hAnsi="Arial" w:cs="Arial"/>
          <w:i/>
          <w:sz w:val="24"/>
          <w:szCs w:val="24"/>
        </w:rPr>
        <w:t>Par exemple, un associé possédant 10€ d’une entreprise dont le capital social est de 100€ a son droit de vote doublé</w:t>
      </w:r>
      <w:r w:rsidR="000F0306">
        <w:rPr>
          <w:rFonts w:ascii="Arial" w:eastAsia="Arial" w:hAnsi="Arial" w:cs="Arial"/>
          <w:i/>
          <w:sz w:val="24"/>
          <w:szCs w:val="24"/>
        </w:rPr>
        <w:t> : il</w:t>
      </w:r>
      <w:r>
        <w:rPr>
          <w:rFonts w:ascii="Arial" w:eastAsia="Arial" w:hAnsi="Arial" w:cs="Arial"/>
          <w:i/>
          <w:sz w:val="24"/>
          <w:szCs w:val="24"/>
        </w:rPr>
        <w:t xml:space="preserve"> voit son droit de vote passer à </w:t>
      </w:r>
      <m:oMath>
        <m:r>
          <w:rPr>
            <w:rFonts w:ascii="Arial" w:eastAsia="Arial" w:hAnsi="Arial" w:cs="Arial"/>
            <w:sz w:val="24"/>
            <w:szCs w:val="24"/>
          </w:rPr>
          <m:t>10 ×2=20</m:t>
        </m:r>
      </m:oMath>
      <w:r>
        <w:rPr>
          <w:rFonts w:ascii="Arial" w:eastAsia="Arial" w:hAnsi="Arial" w:cs="Arial"/>
          <w:i/>
          <w:sz w:val="24"/>
          <w:szCs w:val="24"/>
        </w:rPr>
        <w:t xml:space="preserve"> mais la valeur de référence du chiffre global passe de 100 à 110 (car les 10 de l’associé comptent ici double d’où l’ajout de 10 afin de considérer le droit de vote double)</w:t>
      </w:r>
    </w:p>
    <w:p w14:paraId="16AC0439" w14:textId="2CC8F216" w:rsidR="00A14A33" w:rsidRDefault="00000000">
      <w:pPr>
        <w:spacing w:after="280" w:line="240" w:lineRule="auto"/>
        <w:jc w:val="both"/>
        <w:rPr>
          <w:rFonts w:ascii="Arial" w:eastAsia="Arial" w:hAnsi="Arial" w:cs="Arial"/>
          <w:color w:val="FF0000"/>
          <w:sz w:val="24"/>
          <w:szCs w:val="24"/>
        </w:rPr>
      </w:pPr>
      <w:r>
        <w:rPr>
          <w:rFonts w:ascii="Arial" w:eastAsia="Arial" w:hAnsi="Arial" w:cs="Arial"/>
          <w:b/>
          <w:sz w:val="24"/>
          <w:szCs w:val="24"/>
        </w:rPr>
        <w:t>7. Conclure sur la stabilité du pouvoir de décision liée à la gouvernance d’Ubisoft et ses conséquences sociales éventuelles.</w:t>
      </w:r>
    </w:p>
    <w:p w14:paraId="69428AA4" w14:textId="77777777" w:rsidR="00883D11" w:rsidRDefault="00883D11">
      <w:pPr>
        <w:rPr>
          <w:rFonts w:ascii="Arial" w:eastAsia="Arial" w:hAnsi="Arial" w:cs="Arial"/>
          <w:b/>
          <w:sz w:val="24"/>
          <w:szCs w:val="24"/>
          <w:u w:val="single"/>
        </w:rPr>
      </w:pPr>
      <w:r>
        <w:rPr>
          <w:rFonts w:ascii="Arial" w:eastAsia="Arial" w:hAnsi="Arial" w:cs="Arial"/>
          <w:b/>
          <w:sz w:val="24"/>
          <w:szCs w:val="24"/>
          <w:u w:val="single"/>
        </w:rPr>
        <w:br w:type="page"/>
      </w:r>
    </w:p>
    <w:p w14:paraId="5E52122B" w14:textId="1A6329AD" w:rsidR="00A14A33" w:rsidRDefault="00000000">
      <w:pPr>
        <w:spacing w:after="280" w:line="240" w:lineRule="auto"/>
        <w:jc w:val="center"/>
        <w:rPr>
          <w:rFonts w:ascii="Arial" w:eastAsia="Arial" w:hAnsi="Arial" w:cs="Arial"/>
          <w:b/>
          <w:sz w:val="24"/>
          <w:szCs w:val="24"/>
          <w:u w:val="single"/>
        </w:rPr>
      </w:pPr>
      <w:r>
        <w:rPr>
          <w:rFonts w:ascii="Arial" w:eastAsia="Arial" w:hAnsi="Arial" w:cs="Arial"/>
          <w:b/>
          <w:sz w:val="24"/>
          <w:szCs w:val="24"/>
          <w:u w:val="single"/>
        </w:rPr>
        <w:lastRenderedPageBreak/>
        <w:t>Partie 2 : Évolution du cours de l’action en bourse de Ubisoft</w:t>
      </w:r>
    </w:p>
    <w:p w14:paraId="61E5E292" w14:textId="7CD546BA" w:rsidR="00A14A33" w:rsidRDefault="00000000">
      <w:pPr>
        <w:spacing w:after="280" w:line="240" w:lineRule="auto"/>
        <w:jc w:val="both"/>
        <w:rPr>
          <w:rFonts w:ascii="Arial" w:eastAsia="Arial" w:hAnsi="Arial" w:cs="Arial"/>
          <w:sz w:val="24"/>
          <w:szCs w:val="24"/>
        </w:rPr>
      </w:pPr>
      <w:r>
        <w:rPr>
          <w:rFonts w:ascii="Arial" w:eastAsia="Arial" w:hAnsi="Arial" w:cs="Arial"/>
          <w:sz w:val="24"/>
          <w:szCs w:val="24"/>
        </w:rPr>
        <w:t>Dans cette partie vous êtes conseiller financier. L’un de vos clients importants souhaite acheter des actions Ubisoft. Il est gamer et certainement influencé par son attrait pour les jeux vidéo. Vous devez analyser la situation avec recul et discernement pour lui proposer un conseil de qualité.</w:t>
      </w:r>
    </w:p>
    <w:tbl>
      <w:tblPr>
        <w:tblStyle w:val="af9"/>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A14A33" w14:paraId="56A01548" w14:textId="77777777" w:rsidTr="00883D11">
        <w:tc>
          <w:tcPr>
            <w:tcW w:w="10763" w:type="dxa"/>
            <w:shd w:val="clear" w:color="auto" w:fill="auto"/>
            <w:tcMar>
              <w:top w:w="100" w:type="dxa"/>
              <w:left w:w="100" w:type="dxa"/>
              <w:bottom w:w="100" w:type="dxa"/>
              <w:right w:w="100" w:type="dxa"/>
            </w:tcMar>
          </w:tcPr>
          <w:p w14:paraId="4B31F566" w14:textId="44F1E047" w:rsidR="00A14A33" w:rsidRDefault="00000000">
            <w:pPr>
              <w:widowControl w:val="0"/>
              <w:spacing w:after="0" w:line="240" w:lineRule="auto"/>
              <w:rPr>
                <w:rFonts w:ascii="Arial" w:eastAsia="Arial" w:hAnsi="Arial" w:cs="Arial"/>
                <w:b/>
                <w:sz w:val="24"/>
                <w:szCs w:val="24"/>
              </w:rPr>
            </w:pPr>
            <w:r>
              <w:rPr>
                <w:rFonts w:ascii="Arial" w:eastAsia="Arial" w:hAnsi="Arial" w:cs="Arial"/>
                <w:sz w:val="24"/>
                <w:szCs w:val="24"/>
              </w:rPr>
              <w:t>Rappel : la valeur boursière</w:t>
            </w:r>
            <w:r>
              <w:rPr>
                <w:rFonts w:ascii="Arial" w:eastAsia="Arial" w:hAnsi="Arial" w:cs="Arial"/>
                <w:b/>
                <w:sz w:val="24"/>
                <w:szCs w:val="24"/>
              </w:rPr>
              <w:t xml:space="preserve"> </w:t>
            </w:r>
          </w:p>
        </w:tc>
      </w:tr>
      <w:tr w:rsidR="00A14A33" w14:paraId="221EB2B4" w14:textId="77777777" w:rsidTr="00883D11">
        <w:trPr>
          <w:trHeight w:val="2102"/>
        </w:trPr>
        <w:tc>
          <w:tcPr>
            <w:tcW w:w="10763" w:type="dxa"/>
            <w:shd w:val="clear" w:color="auto" w:fill="auto"/>
            <w:tcMar>
              <w:top w:w="100" w:type="dxa"/>
              <w:left w:w="100" w:type="dxa"/>
              <w:bottom w:w="100" w:type="dxa"/>
              <w:right w:w="100" w:type="dxa"/>
            </w:tcMar>
          </w:tcPr>
          <w:p w14:paraId="565D5315" w14:textId="77777777" w:rsidR="00A14A33" w:rsidRDefault="00000000">
            <w:pPr>
              <w:widowControl w:val="0"/>
              <w:spacing w:after="0" w:line="276" w:lineRule="auto"/>
              <w:jc w:val="both"/>
              <w:rPr>
                <w:rFonts w:ascii="Arial" w:eastAsia="Arial" w:hAnsi="Arial" w:cs="Arial"/>
                <w:i/>
                <w:sz w:val="24"/>
                <w:szCs w:val="24"/>
              </w:rPr>
            </w:pPr>
            <w:r>
              <w:rPr>
                <w:rFonts w:ascii="Arial" w:eastAsia="Arial" w:hAnsi="Arial" w:cs="Arial"/>
                <w:i/>
                <w:sz w:val="24"/>
                <w:szCs w:val="24"/>
              </w:rPr>
              <w:t xml:space="preserve">La </w:t>
            </w:r>
            <w:r>
              <w:rPr>
                <w:rFonts w:ascii="Arial" w:eastAsia="Arial" w:hAnsi="Arial" w:cs="Arial"/>
                <w:b/>
                <w:i/>
                <w:sz w:val="24"/>
                <w:szCs w:val="24"/>
              </w:rPr>
              <w:t>valeur boursière</w:t>
            </w:r>
            <w:r>
              <w:rPr>
                <w:rFonts w:ascii="Arial" w:eastAsia="Arial" w:hAnsi="Arial" w:cs="Arial"/>
                <w:i/>
                <w:sz w:val="24"/>
                <w:szCs w:val="24"/>
              </w:rPr>
              <w:t xml:space="preserve"> d’une action ne concerne que les sociétés cotées en bourse.</w:t>
            </w:r>
          </w:p>
          <w:p w14:paraId="554923FF" w14:textId="77777777" w:rsidR="00A14A33" w:rsidRDefault="00000000">
            <w:pPr>
              <w:widowControl w:val="0"/>
              <w:spacing w:after="0" w:line="276" w:lineRule="auto"/>
              <w:jc w:val="both"/>
              <w:rPr>
                <w:rFonts w:ascii="Arial" w:eastAsia="Arial" w:hAnsi="Arial" w:cs="Arial"/>
                <w:i/>
                <w:sz w:val="24"/>
                <w:szCs w:val="24"/>
              </w:rPr>
            </w:pPr>
            <w:r>
              <w:rPr>
                <w:rFonts w:ascii="Arial" w:eastAsia="Arial" w:hAnsi="Arial" w:cs="Arial"/>
                <w:i/>
                <w:sz w:val="24"/>
                <w:szCs w:val="24"/>
              </w:rPr>
              <w:t xml:space="preserve">Nous avons la formule </w:t>
            </w:r>
            <w:r>
              <w:rPr>
                <w:rFonts w:ascii="Arial" w:eastAsia="Arial" w:hAnsi="Arial" w:cs="Arial"/>
                <w:b/>
                <w:i/>
                <w:sz w:val="24"/>
                <w:szCs w:val="24"/>
              </w:rPr>
              <w:t>Valeur boursière d’une société = Cours d’une action × Nombre d’actions.</w:t>
            </w:r>
            <w:r>
              <w:rPr>
                <w:rFonts w:ascii="Arial" w:eastAsia="Arial" w:hAnsi="Arial" w:cs="Arial"/>
                <w:i/>
                <w:sz w:val="24"/>
                <w:szCs w:val="24"/>
              </w:rPr>
              <w:t xml:space="preserve"> La valeur boursière répond à la loi de l’</w:t>
            </w:r>
            <w:proofErr w:type="spellStart"/>
            <w:r>
              <w:rPr>
                <w:rFonts w:ascii="Arial" w:eastAsia="Arial" w:hAnsi="Arial" w:cs="Arial"/>
                <w:i/>
                <w:sz w:val="24"/>
                <w:szCs w:val="24"/>
              </w:rPr>
              <w:t>oﬀre</w:t>
            </w:r>
            <w:proofErr w:type="spellEnd"/>
            <w:r>
              <w:rPr>
                <w:rFonts w:ascii="Arial" w:eastAsia="Arial" w:hAnsi="Arial" w:cs="Arial"/>
                <w:i/>
                <w:sz w:val="24"/>
                <w:szCs w:val="24"/>
              </w:rPr>
              <w:t xml:space="preserve"> et de la demande, plus le titre est demandé, plus sa valeur monte et vice versa. </w:t>
            </w:r>
          </w:p>
          <w:p w14:paraId="71F6BF88" w14:textId="38CDA9A5" w:rsidR="00A14A33" w:rsidRDefault="00000000">
            <w:pPr>
              <w:widowControl w:val="0"/>
              <w:spacing w:after="0" w:line="276" w:lineRule="auto"/>
              <w:jc w:val="both"/>
              <w:rPr>
                <w:rFonts w:ascii="Arial" w:eastAsia="Arial" w:hAnsi="Arial" w:cs="Arial"/>
                <w:i/>
                <w:sz w:val="24"/>
                <w:szCs w:val="24"/>
              </w:rPr>
            </w:pPr>
            <w:r>
              <w:rPr>
                <w:rFonts w:ascii="Arial" w:eastAsia="Arial" w:hAnsi="Arial" w:cs="Arial"/>
                <w:i/>
                <w:sz w:val="24"/>
                <w:szCs w:val="24"/>
              </w:rPr>
              <w:t xml:space="preserve">Si la valeur </w:t>
            </w:r>
            <w:proofErr w:type="spellStart"/>
            <w:r>
              <w:rPr>
                <w:rFonts w:ascii="Arial" w:eastAsia="Arial" w:hAnsi="Arial" w:cs="Arial"/>
                <w:i/>
                <w:sz w:val="24"/>
                <w:szCs w:val="24"/>
              </w:rPr>
              <w:t>ﬁnancière</w:t>
            </w:r>
            <w:proofErr w:type="spellEnd"/>
            <w:r>
              <w:rPr>
                <w:rFonts w:ascii="Arial" w:eastAsia="Arial" w:hAnsi="Arial" w:cs="Arial"/>
                <w:i/>
                <w:sz w:val="24"/>
                <w:szCs w:val="24"/>
              </w:rPr>
              <w:t xml:space="preserve"> est supérieure à la valeur boursière, cela traduit une anomalie de valorisation et donc une opportunité d’investissement ; dans le cas contraire, cela suppose une anticipation, par les investisseurs, de futurs bénéfices.</w:t>
            </w:r>
          </w:p>
        </w:tc>
      </w:tr>
    </w:tbl>
    <w:p w14:paraId="0EBA6542" w14:textId="77777777" w:rsidR="00A14A33" w:rsidRDefault="00A14A33" w:rsidP="00BE7C60">
      <w:pPr>
        <w:spacing w:after="0" w:line="240" w:lineRule="auto"/>
        <w:jc w:val="both"/>
        <w:rPr>
          <w:rFonts w:ascii="Arial" w:eastAsia="Arial" w:hAnsi="Arial" w:cs="Arial"/>
          <w:b/>
          <w:color w:val="FF0000"/>
          <w:sz w:val="24"/>
          <w:szCs w:val="24"/>
        </w:rPr>
      </w:pPr>
    </w:p>
    <w:tbl>
      <w:tblPr>
        <w:tblStyle w:val="afa"/>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A14A33" w14:paraId="52B6122F" w14:textId="77777777" w:rsidTr="00883D11">
        <w:tc>
          <w:tcPr>
            <w:tcW w:w="10763" w:type="dxa"/>
            <w:shd w:val="clear" w:color="auto" w:fill="auto"/>
            <w:tcMar>
              <w:top w:w="100" w:type="dxa"/>
              <w:left w:w="100" w:type="dxa"/>
              <w:bottom w:w="100" w:type="dxa"/>
              <w:right w:w="100" w:type="dxa"/>
            </w:tcMar>
          </w:tcPr>
          <w:p w14:paraId="1FCB3B7E" w14:textId="39233A93" w:rsidR="00A14A33" w:rsidRDefault="00000000">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Document 6. Évolution de l’action cotée en bourse de Ubisoft sur les 5 dernières années</w:t>
            </w:r>
            <w:r>
              <w:rPr>
                <w:rFonts w:ascii="Arial" w:eastAsia="Arial" w:hAnsi="Arial" w:cs="Arial"/>
                <w:b/>
                <w:sz w:val="24"/>
                <w:szCs w:val="24"/>
              </w:rPr>
              <w:t xml:space="preserve"> </w:t>
            </w:r>
          </w:p>
        </w:tc>
      </w:tr>
      <w:tr w:rsidR="00A14A33" w14:paraId="5B800194" w14:textId="77777777" w:rsidTr="00883D11">
        <w:trPr>
          <w:trHeight w:val="5975"/>
        </w:trPr>
        <w:tc>
          <w:tcPr>
            <w:tcW w:w="10763" w:type="dxa"/>
            <w:shd w:val="clear" w:color="auto" w:fill="auto"/>
            <w:tcMar>
              <w:top w:w="100" w:type="dxa"/>
              <w:left w:w="100" w:type="dxa"/>
              <w:bottom w:w="100" w:type="dxa"/>
              <w:right w:w="100" w:type="dxa"/>
            </w:tcMar>
          </w:tcPr>
          <w:p w14:paraId="2DE484DE" w14:textId="77777777" w:rsidR="00A14A33" w:rsidRDefault="00000000">
            <w:pPr>
              <w:widowControl w:val="0"/>
              <w:pBdr>
                <w:top w:val="nil"/>
                <w:left w:val="nil"/>
                <w:bottom w:val="nil"/>
                <w:right w:val="nil"/>
                <w:between w:val="nil"/>
              </w:pBdr>
              <w:spacing w:after="0" w:line="240" w:lineRule="auto"/>
              <w:jc w:val="right"/>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7EFE7E95" wp14:editId="4423AD14">
                  <wp:extent cx="6685875" cy="3438525"/>
                  <wp:effectExtent l="0" t="0" r="127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701335" cy="3446476"/>
                          </a:xfrm>
                          <a:prstGeom prst="rect">
                            <a:avLst/>
                          </a:prstGeom>
                          <a:ln/>
                        </pic:spPr>
                      </pic:pic>
                    </a:graphicData>
                  </a:graphic>
                </wp:inline>
              </w:drawing>
            </w:r>
          </w:p>
          <w:p w14:paraId="32CA12CA" w14:textId="77777777" w:rsidR="00A14A33" w:rsidRDefault="00A14A33">
            <w:pPr>
              <w:widowControl w:val="0"/>
              <w:pBdr>
                <w:top w:val="nil"/>
                <w:left w:val="nil"/>
                <w:bottom w:val="nil"/>
                <w:right w:val="nil"/>
                <w:between w:val="nil"/>
              </w:pBdr>
              <w:spacing w:after="0" w:line="240" w:lineRule="auto"/>
              <w:jc w:val="right"/>
              <w:rPr>
                <w:rFonts w:ascii="Arial" w:eastAsia="Arial" w:hAnsi="Arial" w:cs="Arial"/>
                <w:sz w:val="24"/>
                <w:szCs w:val="24"/>
              </w:rPr>
            </w:pPr>
          </w:p>
          <w:p w14:paraId="0D3F9691" w14:textId="1D073905" w:rsidR="00A14A33" w:rsidRDefault="00000000">
            <w:pPr>
              <w:widowControl w:val="0"/>
              <w:pBdr>
                <w:top w:val="nil"/>
                <w:left w:val="nil"/>
                <w:bottom w:val="nil"/>
                <w:right w:val="nil"/>
                <w:between w:val="nil"/>
              </w:pBdr>
              <w:spacing w:after="0" w:line="240" w:lineRule="auto"/>
              <w:jc w:val="right"/>
              <w:rPr>
                <w:rFonts w:ascii="Arial" w:eastAsia="Arial" w:hAnsi="Arial" w:cs="Arial"/>
                <w:i/>
                <w:sz w:val="24"/>
                <w:szCs w:val="24"/>
              </w:rPr>
            </w:pPr>
            <w:proofErr w:type="gramStart"/>
            <w:r>
              <w:rPr>
                <w:rFonts w:ascii="Arial" w:eastAsia="Arial" w:hAnsi="Arial" w:cs="Arial"/>
                <w:i/>
                <w:sz w:val="24"/>
                <w:szCs w:val="24"/>
              </w:rPr>
              <w:t>Source:</w:t>
            </w:r>
            <w:proofErr w:type="gramEnd"/>
            <w:r>
              <w:rPr>
                <w:rFonts w:ascii="Arial" w:eastAsia="Arial" w:hAnsi="Arial" w:cs="Arial"/>
                <w:i/>
                <w:sz w:val="24"/>
                <w:szCs w:val="24"/>
              </w:rPr>
              <w:t xml:space="preserve"> Boursier.com</w:t>
            </w:r>
          </w:p>
        </w:tc>
      </w:tr>
    </w:tbl>
    <w:p w14:paraId="58C980DA" w14:textId="77777777" w:rsidR="00A14A33" w:rsidRDefault="00A14A33" w:rsidP="00BE7C60">
      <w:pPr>
        <w:spacing w:after="0" w:line="240" w:lineRule="auto"/>
        <w:jc w:val="both"/>
        <w:rPr>
          <w:rFonts w:ascii="Arial" w:eastAsia="Arial" w:hAnsi="Arial" w:cs="Arial"/>
          <w:b/>
          <w:sz w:val="24"/>
          <w:szCs w:val="24"/>
        </w:rPr>
      </w:pPr>
    </w:p>
    <w:p w14:paraId="45610F39"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 xml:space="preserve">8. De manière générale, comment peut-on décrire l’évolution de l’action en bourse d’Ubisoft depuis 2019 ? </w:t>
      </w:r>
    </w:p>
    <w:p w14:paraId="50A2743A" w14:textId="2657DE1F" w:rsidR="00A14A33" w:rsidRPr="000F0306" w:rsidRDefault="00000000">
      <w:pPr>
        <w:spacing w:after="280" w:line="240" w:lineRule="auto"/>
        <w:jc w:val="both"/>
        <w:rPr>
          <w:rFonts w:ascii="Arial" w:eastAsia="Arial" w:hAnsi="Arial" w:cs="Arial"/>
          <w:b/>
          <w:sz w:val="24"/>
          <w:szCs w:val="24"/>
        </w:rPr>
      </w:pPr>
      <w:r>
        <w:rPr>
          <w:rFonts w:ascii="Arial" w:eastAsia="Arial" w:hAnsi="Arial" w:cs="Arial"/>
          <w:b/>
          <w:sz w:val="24"/>
          <w:szCs w:val="24"/>
        </w:rPr>
        <w:t xml:space="preserve">9. Par lecture graphique, compléter la ligne “Valeur de l’action” du tableau suivant : </w:t>
      </w:r>
    </w:p>
    <w:p w14:paraId="12E61170" w14:textId="77777777" w:rsidR="00A14A33" w:rsidRDefault="00000000">
      <w:pPr>
        <w:spacing w:after="280" w:line="240" w:lineRule="auto"/>
        <w:jc w:val="both"/>
        <w:rPr>
          <w:rFonts w:ascii="Arial" w:eastAsia="Arial" w:hAnsi="Arial" w:cs="Arial"/>
          <w:b/>
          <w:i/>
          <w:color w:val="FF0000"/>
          <w:sz w:val="24"/>
          <w:szCs w:val="24"/>
        </w:rPr>
      </w:pPr>
      <w:r>
        <w:rPr>
          <w:rFonts w:ascii="Arial" w:eastAsia="Arial" w:hAnsi="Arial" w:cs="Arial"/>
          <w:b/>
          <w:sz w:val="24"/>
          <w:szCs w:val="24"/>
        </w:rPr>
        <w:t xml:space="preserve">10. La ligne “Évolution (en %)” se calcule à l’aide du </w:t>
      </w:r>
      <w:r>
        <w:rPr>
          <w:rFonts w:ascii="Arial" w:eastAsia="Arial" w:hAnsi="Arial" w:cs="Arial"/>
          <w:b/>
          <w:i/>
          <w:color w:val="FF0000"/>
          <w:sz w:val="24"/>
          <w:szCs w:val="24"/>
        </w:rPr>
        <w:t>taux d’évolution</w:t>
      </w:r>
      <w:r>
        <w:rPr>
          <w:rFonts w:ascii="Arial" w:eastAsia="Arial" w:hAnsi="Arial" w:cs="Arial"/>
          <w:b/>
          <w:sz w:val="24"/>
          <w:szCs w:val="24"/>
        </w:rPr>
        <w:t xml:space="preserve"> donné par la formule :   </w:t>
      </w:r>
      <m:oMath>
        <m:r>
          <m:rPr>
            <m:sty m:val="bi"/>
          </m:rPr>
          <w:rPr>
            <w:rFonts w:ascii="Arial" w:eastAsia="Arial" w:hAnsi="Arial" w:cs="Arial"/>
            <w:color w:val="FF0000"/>
            <w:sz w:val="24"/>
            <w:szCs w:val="24"/>
          </w:rPr>
          <m:t>t=</m:t>
        </m:r>
        <m:r>
          <m:rPr>
            <m:sty m:val="bi"/>
          </m:rPr>
          <w:rPr>
            <w:rFonts w:ascii="Arial" w:eastAsia="Arial" w:hAnsi="Arial" w:cs="Arial"/>
            <w:color w:val="FF0000"/>
            <w:sz w:val="40"/>
            <w:szCs w:val="40"/>
          </w:rPr>
          <m:t xml:space="preserve"> </m:t>
        </m:r>
        <m:f>
          <m:fPr>
            <m:ctrlPr>
              <w:rPr>
                <w:rFonts w:ascii="Arial" w:eastAsia="Arial" w:hAnsi="Arial" w:cs="Arial"/>
                <w:b/>
                <w:color w:val="FF0000"/>
                <w:sz w:val="40"/>
                <w:szCs w:val="40"/>
              </w:rPr>
            </m:ctrlPr>
          </m:fPr>
          <m:num>
            <m:sSub>
              <m:sSubPr>
                <m:ctrlPr>
                  <w:rPr>
                    <w:rFonts w:ascii="Arial" w:eastAsia="Arial" w:hAnsi="Arial" w:cs="Arial"/>
                    <w:b/>
                    <w:color w:val="FF0000"/>
                    <w:sz w:val="40"/>
                    <w:szCs w:val="40"/>
                  </w:rPr>
                </m:ctrlPr>
              </m:sSubPr>
              <m:e>
                <m:r>
                  <m:rPr>
                    <m:sty m:val="bi"/>
                  </m:rPr>
                  <w:rPr>
                    <w:rFonts w:ascii="Arial" w:eastAsia="Arial" w:hAnsi="Arial" w:cs="Arial"/>
                    <w:color w:val="FF0000"/>
                    <w:sz w:val="40"/>
                    <w:szCs w:val="40"/>
                  </w:rPr>
                  <m:t>V</m:t>
                </m:r>
              </m:e>
              <m:sub>
                <m:r>
                  <m:rPr>
                    <m:sty m:val="bi"/>
                  </m:rPr>
                  <w:rPr>
                    <w:rFonts w:ascii="Arial" w:eastAsia="Arial" w:hAnsi="Arial" w:cs="Arial"/>
                    <w:color w:val="FF0000"/>
                    <w:sz w:val="40"/>
                    <w:szCs w:val="40"/>
                  </w:rPr>
                  <m:t>finale</m:t>
                </m:r>
              </m:sub>
            </m:sSub>
            <m:r>
              <m:rPr>
                <m:sty m:val="bi"/>
              </m:rPr>
              <w:rPr>
                <w:rFonts w:ascii="Arial" w:eastAsia="Arial" w:hAnsi="Arial" w:cs="Arial"/>
                <w:color w:val="FF0000"/>
                <w:sz w:val="40"/>
                <w:szCs w:val="40"/>
              </w:rPr>
              <m:t xml:space="preserve"> -</m:t>
            </m:r>
            <m:sSub>
              <m:sSubPr>
                <m:ctrlPr>
                  <w:rPr>
                    <w:rFonts w:ascii="Arial" w:eastAsia="Arial" w:hAnsi="Arial" w:cs="Arial"/>
                    <w:b/>
                    <w:color w:val="FF0000"/>
                    <w:sz w:val="40"/>
                    <w:szCs w:val="40"/>
                  </w:rPr>
                </m:ctrlPr>
              </m:sSubPr>
              <m:e>
                <m:r>
                  <m:rPr>
                    <m:sty m:val="bi"/>
                  </m:rPr>
                  <w:rPr>
                    <w:rFonts w:ascii="Arial" w:eastAsia="Arial" w:hAnsi="Arial" w:cs="Arial"/>
                    <w:color w:val="FF0000"/>
                    <w:sz w:val="40"/>
                    <w:szCs w:val="40"/>
                  </w:rPr>
                  <m:t xml:space="preserve"> V</m:t>
                </m:r>
              </m:e>
              <m:sub>
                <m:r>
                  <m:rPr>
                    <m:sty m:val="bi"/>
                  </m:rPr>
                  <w:rPr>
                    <w:rFonts w:ascii="Arial" w:eastAsia="Arial" w:hAnsi="Arial" w:cs="Arial"/>
                    <w:color w:val="FF0000"/>
                    <w:sz w:val="40"/>
                    <w:szCs w:val="40"/>
                  </w:rPr>
                  <m:t>initiale</m:t>
                </m:r>
              </m:sub>
            </m:sSub>
          </m:num>
          <m:den>
            <m:sSub>
              <m:sSubPr>
                <m:ctrlPr>
                  <w:rPr>
                    <w:rFonts w:ascii="Arial" w:eastAsia="Arial" w:hAnsi="Arial" w:cs="Arial"/>
                    <w:b/>
                    <w:color w:val="FF0000"/>
                    <w:sz w:val="40"/>
                    <w:szCs w:val="40"/>
                  </w:rPr>
                </m:ctrlPr>
              </m:sSubPr>
              <m:e>
                <m:r>
                  <m:rPr>
                    <m:sty m:val="bi"/>
                  </m:rPr>
                  <w:rPr>
                    <w:rFonts w:ascii="Arial" w:eastAsia="Arial" w:hAnsi="Arial" w:cs="Arial"/>
                    <w:color w:val="FF0000"/>
                    <w:sz w:val="40"/>
                    <w:szCs w:val="40"/>
                  </w:rPr>
                  <m:t>V</m:t>
                </m:r>
              </m:e>
              <m:sub>
                <m:r>
                  <m:rPr>
                    <m:sty m:val="bi"/>
                  </m:rPr>
                  <w:rPr>
                    <w:rFonts w:ascii="Arial" w:eastAsia="Arial" w:hAnsi="Arial" w:cs="Arial"/>
                    <w:color w:val="FF0000"/>
                    <w:sz w:val="40"/>
                    <w:szCs w:val="40"/>
                  </w:rPr>
                  <m:t>initiale</m:t>
                </m:r>
              </m:sub>
            </m:sSub>
          </m:den>
        </m:f>
      </m:oMath>
    </w:p>
    <w:p w14:paraId="370DCEA9"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lastRenderedPageBreak/>
        <w:t xml:space="preserve">A l’aide de cette formule, compléter la dernière ligne du tableau, tout en sachant que l’évolution dans la case en dessous du 2/1/21 représente l’évolution entre le 2/1/20 et le 2/1/21 par exemple. Arrondir à </w:t>
      </w:r>
      <m:oMath>
        <m:r>
          <m:rPr>
            <m:sty m:val="bi"/>
          </m:rPr>
          <w:rPr>
            <w:rFonts w:ascii="Arial" w:eastAsia="Arial" w:hAnsi="Arial" w:cs="Arial"/>
            <w:sz w:val="24"/>
            <w:szCs w:val="24"/>
          </w:rPr>
          <m:t>1</m:t>
        </m:r>
        <m:sSup>
          <m:sSupPr>
            <m:ctrlPr>
              <w:rPr>
                <w:rFonts w:ascii="Arial" w:eastAsia="Arial" w:hAnsi="Arial" w:cs="Arial"/>
                <w:b/>
                <w:sz w:val="24"/>
                <w:szCs w:val="24"/>
              </w:rPr>
            </m:ctrlPr>
          </m:sSupPr>
          <m:e>
            <m:r>
              <m:rPr>
                <m:sty m:val="bi"/>
              </m:rPr>
              <w:rPr>
                <w:rFonts w:ascii="Arial" w:eastAsia="Arial" w:hAnsi="Arial" w:cs="Arial"/>
                <w:sz w:val="24"/>
                <w:szCs w:val="24"/>
              </w:rPr>
              <m:t>0</m:t>
            </m:r>
          </m:e>
          <m:sup>
            <m:r>
              <m:rPr>
                <m:sty m:val="bi"/>
              </m:rPr>
              <w:rPr>
                <w:rFonts w:ascii="Arial" w:eastAsia="Arial" w:hAnsi="Arial" w:cs="Arial"/>
                <w:sz w:val="24"/>
                <w:szCs w:val="24"/>
              </w:rPr>
              <m:t>-4</m:t>
            </m:r>
          </m:sup>
        </m:sSup>
      </m:oMath>
      <w:r>
        <w:rPr>
          <w:rFonts w:ascii="Arial" w:eastAsia="Arial" w:hAnsi="Arial" w:cs="Arial"/>
          <w:b/>
          <w:sz w:val="24"/>
          <w:szCs w:val="24"/>
        </w:rPr>
        <w:t xml:space="preserve"> près.</w:t>
      </w:r>
    </w:p>
    <w:p w14:paraId="63AB46E1" w14:textId="4680C1CE" w:rsidR="00A14A33" w:rsidRDefault="00000000" w:rsidP="00BE7C60">
      <w:pPr>
        <w:spacing w:after="0" w:line="240" w:lineRule="auto"/>
        <w:jc w:val="both"/>
        <w:rPr>
          <w:rFonts w:ascii="Arial" w:eastAsia="Arial" w:hAnsi="Arial" w:cs="Arial"/>
          <w:b/>
          <w:sz w:val="24"/>
          <w:szCs w:val="24"/>
        </w:rPr>
      </w:pPr>
      <w:r>
        <w:rPr>
          <w:rFonts w:ascii="Arial" w:eastAsia="Arial" w:hAnsi="Arial" w:cs="Arial"/>
          <w:b/>
          <w:sz w:val="24"/>
          <w:szCs w:val="24"/>
        </w:rPr>
        <w:t>11. On souhaite maintenant calculer le taux d’évolution moyen entre 2019 et 2024, c'est-à-dire l’évolution annuelle moyenne au cours de ces 5 ans. On sait que le taux d’évolution moyen se calcule de la manière suivante :</w:t>
      </w:r>
    </w:p>
    <w:p w14:paraId="053EC244" w14:textId="77777777" w:rsidR="00BE7C60" w:rsidRDefault="00BE7C60" w:rsidP="00BE7C60">
      <w:pPr>
        <w:spacing w:after="0" w:line="240" w:lineRule="auto"/>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58240" behindDoc="1" locked="0" layoutInCell="1" allowOverlap="1" wp14:anchorId="4669EA42" wp14:editId="7E26084A">
            <wp:simplePos x="0" y="0"/>
            <wp:positionH relativeFrom="column">
              <wp:posOffset>49530</wp:posOffset>
            </wp:positionH>
            <wp:positionV relativeFrom="paragraph">
              <wp:posOffset>16510</wp:posOffset>
            </wp:positionV>
            <wp:extent cx="2023951" cy="497800"/>
            <wp:effectExtent l="0" t="0" r="0" b="0"/>
            <wp:wrapTight wrapText="bothSides">
              <wp:wrapPolygon edited="0">
                <wp:start x="0" y="0"/>
                <wp:lineTo x="0" y="20690"/>
                <wp:lineTo x="21349" y="20690"/>
                <wp:lineTo x="21349" y="0"/>
                <wp:lineTo x="0" y="0"/>
              </wp:wrapPolygon>
            </wp:wrapTight>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023951" cy="497800"/>
                    </a:xfrm>
                    <a:prstGeom prst="rect">
                      <a:avLst/>
                    </a:prstGeom>
                    <a:ln/>
                  </pic:spPr>
                </pic:pic>
              </a:graphicData>
            </a:graphic>
          </wp:anchor>
        </w:drawing>
      </w:r>
    </w:p>
    <w:p w14:paraId="3CCB0353" w14:textId="43CEE987" w:rsidR="00A14A33" w:rsidRDefault="00BE7C60" w:rsidP="00BE7C60">
      <w:pPr>
        <w:spacing w:after="280" w:line="240" w:lineRule="auto"/>
        <w:rPr>
          <w:rFonts w:ascii="Arial" w:eastAsia="Arial" w:hAnsi="Arial" w:cs="Arial"/>
          <w:b/>
          <w:sz w:val="24"/>
          <w:szCs w:val="24"/>
        </w:rPr>
      </w:pPr>
      <w:r>
        <w:rPr>
          <w:rFonts w:ascii="Arial" w:eastAsia="Arial" w:hAnsi="Arial" w:cs="Arial"/>
          <w:b/>
          <w:sz w:val="24"/>
          <w:szCs w:val="24"/>
        </w:rPr>
        <w:t xml:space="preserve">   </w:t>
      </w:r>
      <w:proofErr w:type="gramStart"/>
      <w:r w:rsidR="00000000">
        <w:rPr>
          <w:rFonts w:ascii="Arial" w:eastAsia="Arial" w:hAnsi="Arial" w:cs="Arial"/>
          <w:b/>
          <w:sz w:val="24"/>
          <w:szCs w:val="24"/>
        </w:rPr>
        <w:t>où</w:t>
      </w:r>
      <w:proofErr w:type="gramEnd"/>
      <w:r w:rsidR="00000000">
        <w:rPr>
          <w:rFonts w:ascii="Arial" w:eastAsia="Arial" w:hAnsi="Arial" w:cs="Arial"/>
          <w:b/>
          <w:sz w:val="24"/>
          <w:szCs w:val="24"/>
        </w:rPr>
        <w:t xml:space="preserve"> </w:t>
      </w:r>
      <m:oMath>
        <m:r>
          <m:rPr>
            <m:sty m:val="bi"/>
          </m:rPr>
          <w:rPr>
            <w:rFonts w:ascii="Arial" w:eastAsia="Arial" w:hAnsi="Arial" w:cs="Arial"/>
            <w:sz w:val="24"/>
            <w:szCs w:val="24"/>
          </w:rPr>
          <m:t>n</m:t>
        </m:r>
      </m:oMath>
      <w:r w:rsidR="00000000">
        <w:rPr>
          <w:rFonts w:ascii="Arial" w:eastAsia="Arial" w:hAnsi="Arial" w:cs="Arial"/>
          <w:b/>
          <w:sz w:val="24"/>
          <w:szCs w:val="24"/>
        </w:rPr>
        <w:t xml:space="preserve"> représente le nombre d’années écoulées.</w:t>
      </w:r>
    </w:p>
    <w:p w14:paraId="534B5BF8" w14:textId="77777777" w:rsidR="00A14A33" w:rsidRDefault="00000000">
      <w:pPr>
        <w:spacing w:after="280" w:line="240" w:lineRule="auto"/>
        <w:rPr>
          <w:rFonts w:ascii="Arial" w:eastAsia="Arial" w:hAnsi="Arial" w:cs="Arial"/>
          <w:b/>
          <w:sz w:val="24"/>
          <w:szCs w:val="24"/>
        </w:rPr>
      </w:pPr>
      <w:r>
        <w:rPr>
          <w:rFonts w:ascii="Arial" w:eastAsia="Arial" w:hAnsi="Arial" w:cs="Arial"/>
          <w:b/>
          <w:sz w:val="24"/>
          <w:szCs w:val="24"/>
        </w:rPr>
        <w:t xml:space="preserve">Calculer le taux d’évolution moyen entre le 2/1/19 et le 2/1/24. Arrondir à </w:t>
      </w:r>
      <m:oMath>
        <m:r>
          <m:rPr>
            <m:sty m:val="bi"/>
          </m:rPr>
          <w:rPr>
            <w:rFonts w:ascii="Arial" w:eastAsia="Arial" w:hAnsi="Arial" w:cs="Arial"/>
            <w:sz w:val="24"/>
            <w:szCs w:val="24"/>
          </w:rPr>
          <m:t>1</m:t>
        </m:r>
        <m:sSup>
          <m:sSupPr>
            <m:ctrlPr>
              <w:rPr>
                <w:rFonts w:ascii="Arial" w:eastAsia="Arial" w:hAnsi="Arial" w:cs="Arial"/>
                <w:b/>
                <w:sz w:val="24"/>
                <w:szCs w:val="24"/>
              </w:rPr>
            </m:ctrlPr>
          </m:sSupPr>
          <m:e>
            <m:r>
              <m:rPr>
                <m:sty m:val="bi"/>
              </m:rPr>
              <w:rPr>
                <w:rFonts w:ascii="Arial" w:eastAsia="Arial" w:hAnsi="Arial" w:cs="Arial"/>
                <w:sz w:val="24"/>
                <w:szCs w:val="24"/>
              </w:rPr>
              <m:t>0</m:t>
            </m:r>
          </m:e>
          <m:sup>
            <m:r>
              <m:rPr>
                <m:sty m:val="bi"/>
              </m:rPr>
              <w:rPr>
                <w:rFonts w:ascii="Arial" w:eastAsia="Arial" w:hAnsi="Arial" w:cs="Arial"/>
                <w:sz w:val="24"/>
                <w:szCs w:val="24"/>
              </w:rPr>
              <m:t>-4</m:t>
            </m:r>
          </m:sup>
        </m:sSup>
      </m:oMath>
      <w:r>
        <w:rPr>
          <w:rFonts w:ascii="Arial" w:eastAsia="Arial" w:hAnsi="Arial" w:cs="Arial"/>
          <w:b/>
          <w:sz w:val="24"/>
          <w:szCs w:val="24"/>
        </w:rPr>
        <w:t xml:space="preserve">puis interpréter. </w:t>
      </w:r>
    </w:p>
    <w:p w14:paraId="278C5258" w14:textId="77777777" w:rsidR="00A14A33" w:rsidRDefault="00000000">
      <w:pPr>
        <w:spacing w:after="280" w:line="240" w:lineRule="auto"/>
        <w:rPr>
          <w:rFonts w:ascii="Arial" w:eastAsia="Arial" w:hAnsi="Arial" w:cs="Arial"/>
          <w:b/>
          <w:sz w:val="24"/>
          <w:szCs w:val="24"/>
        </w:rPr>
      </w:pPr>
      <w:r>
        <w:rPr>
          <w:rFonts w:ascii="Arial" w:eastAsia="Arial" w:hAnsi="Arial" w:cs="Arial"/>
          <w:b/>
          <w:sz w:val="24"/>
          <w:szCs w:val="24"/>
        </w:rPr>
        <w:t>12. En déduire les années où la valeur de l’action en bourse a plus diminué que la moyenne ou moins diminué que la moyenne.</w:t>
      </w:r>
    </w:p>
    <w:tbl>
      <w:tblPr>
        <w:tblStyle w:val="afd"/>
        <w:tblW w:w="106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2"/>
      </w:tblGrid>
      <w:tr w:rsidR="00A14A33" w14:paraId="3066FCD9" w14:textId="77777777" w:rsidTr="00BE7C60">
        <w:trPr>
          <w:trHeight w:val="380"/>
        </w:trPr>
        <w:tc>
          <w:tcPr>
            <w:tcW w:w="10622" w:type="dxa"/>
            <w:shd w:val="clear" w:color="auto" w:fill="auto"/>
            <w:tcMar>
              <w:top w:w="100" w:type="dxa"/>
              <w:left w:w="100" w:type="dxa"/>
              <w:bottom w:w="100" w:type="dxa"/>
              <w:right w:w="100" w:type="dxa"/>
            </w:tcMar>
          </w:tcPr>
          <w:p w14:paraId="0446EFB7" w14:textId="1F525067" w:rsidR="00A14A33" w:rsidRDefault="00000000">
            <w:pPr>
              <w:widowControl w:val="0"/>
              <w:spacing w:after="0" w:line="240" w:lineRule="auto"/>
              <w:rPr>
                <w:rFonts w:ascii="Arial" w:eastAsia="Arial" w:hAnsi="Arial" w:cs="Arial"/>
                <w:sz w:val="24"/>
                <w:szCs w:val="24"/>
              </w:rPr>
            </w:pPr>
            <w:r>
              <w:rPr>
                <w:rFonts w:ascii="Arial" w:eastAsia="Arial" w:hAnsi="Arial" w:cs="Arial"/>
                <w:sz w:val="24"/>
                <w:szCs w:val="24"/>
              </w:rPr>
              <w:t>Document 7. Evolution de l’action Ubisoft en octobre 2024</w:t>
            </w:r>
          </w:p>
        </w:tc>
      </w:tr>
      <w:tr w:rsidR="00A14A33" w14:paraId="4C33284C" w14:textId="77777777" w:rsidTr="00BE7C60">
        <w:trPr>
          <w:trHeight w:val="2726"/>
        </w:trPr>
        <w:tc>
          <w:tcPr>
            <w:tcW w:w="10622" w:type="dxa"/>
            <w:shd w:val="clear" w:color="auto" w:fill="auto"/>
            <w:tcMar>
              <w:top w:w="100" w:type="dxa"/>
              <w:left w:w="100" w:type="dxa"/>
              <w:bottom w:w="100" w:type="dxa"/>
              <w:right w:w="100" w:type="dxa"/>
            </w:tcMar>
          </w:tcPr>
          <w:p w14:paraId="79FEE19A" w14:textId="77777777" w:rsidR="00A14A33" w:rsidRDefault="00000000">
            <w:pPr>
              <w:widowControl w:val="0"/>
              <w:spacing w:after="240" w:line="240" w:lineRule="auto"/>
              <w:jc w:val="both"/>
              <w:rPr>
                <w:rFonts w:ascii="Arial" w:eastAsia="Arial" w:hAnsi="Arial" w:cs="Arial"/>
              </w:rPr>
            </w:pPr>
            <w:r>
              <w:rPr>
                <w:rFonts w:ascii="Arial" w:eastAsia="Arial" w:hAnsi="Arial" w:cs="Arial"/>
              </w:rPr>
              <w:t>Après quasiment trois décennies, Ubisoft pourrait-il quitter la Bourse ?</w:t>
            </w:r>
            <w:r>
              <w:rPr>
                <w:rFonts w:ascii="Arial" w:eastAsia="Arial" w:hAnsi="Arial" w:cs="Arial"/>
              </w:rPr>
              <w:br/>
              <w:t xml:space="preserve">L’hypothèse de rachat d’actions, qui serait étudiée par les frères Guillemot, cofondateurs du géant du jeu vidéo, associés à leur allié chinois </w:t>
            </w:r>
            <w:proofErr w:type="spellStart"/>
            <w:r>
              <w:rPr>
                <w:rFonts w:ascii="Arial" w:eastAsia="Arial" w:hAnsi="Arial" w:cs="Arial"/>
              </w:rPr>
              <w:t>Tencent</w:t>
            </w:r>
            <w:proofErr w:type="spellEnd"/>
            <w:r>
              <w:rPr>
                <w:rFonts w:ascii="Arial" w:eastAsia="Arial" w:hAnsi="Arial" w:cs="Arial"/>
              </w:rPr>
              <w:t>, a fait flamber l’action de l’entreprise vendredi. Peu après la publication d’un article de Bloomberg, l’action s’envolait de 30 % à 13,50 euros. Cette dernière a perdu la moitié de sa valeur en un an.</w:t>
            </w:r>
          </w:p>
          <w:p w14:paraId="4221C9CE" w14:textId="77777777" w:rsidR="00A14A33" w:rsidRDefault="00000000">
            <w:pPr>
              <w:widowControl w:val="0"/>
              <w:spacing w:before="240" w:after="240" w:line="240" w:lineRule="auto"/>
              <w:jc w:val="both"/>
              <w:rPr>
                <w:rFonts w:ascii="Arial" w:eastAsia="Arial" w:hAnsi="Arial" w:cs="Arial"/>
              </w:rPr>
            </w:pPr>
            <w:r>
              <w:rPr>
                <w:rFonts w:ascii="Arial" w:eastAsia="Arial" w:hAnsi="Arial" w:cs="Arial"/>
              </w:rPr>
              <w:t xml:space="preserve">Selon le média, la famille Guillemot étudie les scénarios qui lui permettraient de remonter la valorisation d’un groupe des plus chahutés. L’une des hypothèses étudiées serait une alliance avec </w:t>
            </w:r>
            <w:proofErr w:type="spellStart"/>
            <w:r>
              <w:rPr>
                <w:rFonts w:ascii="Arial" w:eastAsia="Arial" w:hAnsi="Arial" w:cs="Arial"/>
              </w:rPr>
              <w:t>Tencent</w:t>
            </w:r>
            <w:proofErr w:type="spellEnd"/>
            <w:r>
              <w:rPr>
                <w:rFonts w:ascii="Arial" w:eastAsia="Arial" w:hAnsi="Arial" w:cs="Arial"/>
              </w:rPr>
              <w:t xml:space="preserve"> afin de racheter conjointement Ubisoft.</w:t>
            </w:r>
          </w:p>
          <w:p w14:paraId="2547BD3A" w14:textId="691680A6" w:rsidR="00A14A33" w:rsidRDefault="00000000">
            <w:pPr>
              <w:widowControl w:val="0"/>
              <w:spacing w:after="0" w:line="240" w:lineRule="auto"/>
              <w:jc w:val="right"/>
              <w:rPr>
                <w:rFonts w:ascii="Arial" w:eastAsia="Arial" w:hAnsi="Arial" w:cs="Arial"/>
                <w:i/>
              </w:rPr>
            </w:pPr>
            <w:proofErr w:type="gramStart"/>
            <w:r>
              <w:rPr>
                <w:rFonts w:ascii="Arial" w:eastAsia="Arial" w:hAnsi="Arial" w:cs="Arial"/>
                <w:i/>
              </w:rPr>
              <w:t>Source:</w:t>
            </w:r>
            <w:proofErr w:type="gramEnd"/>
            <w:r>
              <w:rPr>
                <w:rFonts w:ascii="Arial" w:eastAsia="Arial" w:hAnsi="Arial" w:cs="Arial"/>
                <w:i/>
              </w:rPr>
              <w:t xml:space="preserve"> Le Figaro 4/10/2024</w:t>
            </w:r>
          </w:p>
        </w:tc>
      </w:tr>
    </w:tbl>
    <w:p w14:paraId="619DB75C" w14:textId="77777777" w:rsidR="00A14A33" w:rsidRDefault="00A14A33" w:rsidP="00BE7C60">
      <w:pPr>
        <w:spacing w:after="0" w:line="240" w:lineRule="auto"/>
        <w:jc w:val="both"/>
        <w:rPr>
          <w:rFonts w:ascii="Arial" w:eastAsia="Arial" w:hAnsi="Arial" w:cs="Arial"/>
          <w:b/>
          <w:sz w:val="24"/>
          <w:szCs w:val="24"/>
        </w:rPr>
      </w:pPr>
    </w:p>
    <w:p w14:paraId="7A9036C2"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13. Expliquer la hausse soudaine du cours de bourse en octobre 2024.</w:t>
      </w:r>
    </w:p>
    <w:p w14:paraId="43C37BF3"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14. En prenant en compte cette hausse, calculer le taux d’évolution moyen entre le 2/1/2019 et le 4/10/2024.</w:t>
      </w:r>
    </w:p>
    <w:tbl>
      <w:tblPr>
        <w:tblStyle w:val="afe"/>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A14A33" w14:paraId="435971A7" w14:textId="77777777" w:rsidTr="00BE7C60">
        <w:tc>
          <w:tcPr>
            <w:tcW w:w="10763" w:type="dxa"/>
            <w:shd w:val="clear" w:color="auto" w:fill="auto"/>
            <w:tcMar>
              <w:top w:w="100" w:type="dxa"/>
              <w:left w:w="100" w:type="dxa"/>
              <w:bottom w:w="100" w:type="dxa"/>
              <w:right w:w="100" w:type="dxa"/>
            </w:tcMar>
          </w:tcPr>
          <w:p w14:paraId="44F342E0" w14:textId="684818FC" w:rsidR="00A14A33" w:rsidRDefault="00000000">
            <w:pPr>
              <w:widowControl w:val="0"/>
              <w:spacing w:after="0" w:line="240" w:lineRule="auto"/>
              <w:rPr>
                <w:rFonts w:ascii="Arial" w:eastAsia="Arial" w:hAnsi="Arial" w:cs="Arial"/>
                <w:sz w:val="24"/>
                <w:szCs w:val="24"/>
              </w:rPr>
            </w:pPr>
            <w:r>
              <w:rPr>
                <w:rFonts w:ascii="Arial" w:eastAsia="Arial" w:hAnsi="Arial" w:cs="Arial"/>
                <w:sz w:val="24"/>
                <w:szCs w:val="24"/>
              </w:rPr>
              <w:t>Document 8. Le dividende rémunère l’investissement de l’actionnaire</w:t>
            </w:r>
          </w:p>
        </w:tc>
      </w:tr>
      <w:tr w:rsidR="00A14A33" w14:paraId="4AB4B8DA" w14:textId="77777777" w:rsidTr="00BE7C60">
        <w:trPr>
          <w:trHeight w:val="2423"/>
        </w:trPr>
        <w:tc>
          <w:tcPr>
            <w:tcW w:w="10763" w:type="dxa"/>
            <w:shd w:val="clear" w:color="auto" w:fill="auto"/>
            <w:tcMar>
              <w:top w:w="100" w:type="dxa"/>
              <w:left w:w="100" w:type="dxa"/>
              <w:bottom w:w="100" w:type="dxa"/>
              <w:right w:w="100" w:type="dxa"/>
            </w:tcMar>
          </w:tcPr>
          <w:p w14:paraId="5969EB2F" w14:textId="77777777" w:rsidR="00A14A33"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20" w:line="240" w:lineRule="auto"/>
              <w:rPr>
                <w:rFonts w:ascii="Arial" w:eastAsia="Arial" w:hAnsi="Arial" w:cs="Arial"/>
                <w:color w:val="040404"/>
              </w:rPr>
            </w:pPr>
            <w:r>
              <w:rPr>
                <w:rFonts w:ascii="Arial" w:eastAsia="Arial" w:hAnsi="Arial" w:cs="Arial"/>
                <w:color w:val="040404"/>
              </w:rPr>
              <w:t xml:space="preserve">Le bénéfice d'un investissement en action pour l'actionnaire peut provenir de deux formes : La plus-value qui représente la hausse de la valorisation de l'entreprise, ou le </w:t>
            </w:r>
            <w:r>
              <w:rPr>
                <w:rFonts w:ascii="Arial" w:eastAsia="Arial" w:hAnsi="Arial" w:cs="Arial"/>
                <w:b/>
                <w:color w:val="040404"/>
              </w:rPr>
              <w:t>dividende</w:t>
            </w:r>
            <w:r>
              <w:rPr>
                <w:rFonts w:ascii="Arial" w:eastAsia="Arial" w:hAnsi="Arial" w:cs="Arial"/>
                <w:color w:val="040404"/>
              </w:rPr>
              <w:t>.</w:t>
            </w:r>
          </w:p>
          <w:p w14:paraId="4F7049E8" w14:textId="77777777" w:rsidR="00A14A33"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20" w:after="220" w:line="240" w:lineRule="auto"/>
              <w:rPr>
                <w:rFonts w:ascii="Arial" w:eastAsia="Arial" w:hAnsi="Arial" w:cs="Arial"/>
                <w:color w:val="040404"/>
              </w:rPr>
            </w:pPr>
            <w:r>
              <w:rPr>
                <w:rFonts w:ascii="Arial" w:eastAsia="Arial" w:hAnsi="Arial" w:cs="Arial"/>
                <w:color w:val="040404"/>
              </w:rPr>
              <w:t xml:space="preserve">Le dividende représente le revenu versé par l'entreprise à ses actionnaires une ou plusieurs fois par an (certaines sociétés versent un acompte sur dividende). Le montant du versement est proposé par le Conseil d'Administration en Assemblée générale Ordinaire et voté par les actionnaires. Ce sont donc </w:t>
            </w:r>
            <w:r>
              <w:rPr>
                <w:rFonts w:ascii="Arial" w:eastAsia="Arial" w:hAnsi="Arial" w:cs="Arial"/>
                <w:b/>
                <w:color w:val="040404"/>
              </w:rPr>
              <w:t>les actionnaires de l'entreprise qui prennent la décision</w:t>
            </w:r>
            <w:r>
              <w:rPr>
                <w:rFonts w:ascii="Arial" w:eastAsia="Arial" w:hAnsi="Arial" w:cs="Arial"/>
                <w:color w:val="040404"/>
              </w:rPr>
              <w:t xml:space="preserve"> et il est logique qu'ils décident à un moment donné de se rémunérer, en se versant une partie des bénéfices annuels de l'entreprise.</w:t>
            </w:r>
          </w:p>
          <w:p w14:paraId="21D02F56" w14:textId="5667D44B" w:rsidR="00A14A33" w:rsidRDefault="00000000">
            <w:pPr>
              <w:widowControl w:val="0"/>
              <w:spacing w:after="0" w:line="240" w:lineRule="auto"/>
              <w:jc w:val="right"/>
              <w:rPr>
                <w:rFonts w:ascii="Arial" w:eastAsia="Arial" w:hAnsi="Arial" w:cs="Arial"/>
                <w:i/>
              </w:rPr>
            </w:pPr>
            <w:proofErr w:type="gramStart"/>
            <w:r>
              <w:rPr>
                <w:rFonts w:ascii="Arial" w:eastAsia="Arial" w:hAnsi="Arial" w:cs="Arial"/>
                <w:i/>
              </w:rPr>
              <w:t>Source:</w:t>
            </w:r>
            <w:proofErr w:type="gramEnd"/>
            <w:r>
              <w:rPr>
                <w:rFonts w:ascii="Arial" w:eastAsia="Arial" w:hAnsi="Arial" w:cs="Arial"/>
                <w:i/>
              </w:rPr>
              <w:t xml:space="preserve"> placementmeilleurtaux.com</w:t>
            </w:r>
          </w:p>
        </w:tc>
      </w:tr>
    </w:tbl>
    <w:p w14:paraId="1AD23442" w14:textId="77777777" w:rsidR="00A14A33" w:rsidRDefault="00A14A33" w:rsidP="00BE7C60">
      <w:pPr>
        <w:spacing w:after="0" w:line="240" w:lineRule="auto"/>
        <w:jc w:val="both"/>
        <w:rPr>
          <w:rFonts w:ascii="Arial" w:eastAsia="Arial" w:hAnsi="Arial" w:cs="Arial"/>
          <w:b/>
        </w:rPr>
      </w:pPr>
    </w:p>
    <w:p w14:paraId="0D2B9528"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15. Calculer la moins-value c'est-à-dire la perte de valeur de l’action entre le 1/1/2019 et le 01/01/2024. Déduire le versement de dividende annuel par action qu’aurait dû verser Ubisoft pour compenser cette moins-value.</w:t>
      </w:r>
    </w:p>
    <w:p w14:paraId="5B22144E"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16. Rechercher l’historique des dividendes versés par Ubisoft ces dernières années.</w:t>
      </w:r>
    </w:p>
    <w:p w14:paraId="399ACA8C"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17. En tant que conseiller financier, argumenter vis-à-vis d’un investisseur potentiel s’il est opportun d’acheter des actions Ubisoft.</w:t>
      </w:r>
    </w:p>
    <w:p w14:paraId="18214296" w14:textId="77777777" w:rsidR="00A14A33" w:rsidRDefault="00000000">
      <w:pPr>
        <w:spacing w:before="240" w:after="0" w:line="276" w:lineRule="auto"/>
        <w:jc w:val="center"/>
        <w:rPr>
          <w:rFonts w:ascii="Arial" w:eastAsia="Arial" w:hAnsi="Arial" w:cs="Arial"/>
        </w:rPr>
      </w:pPr>
      <w:r>
        <w:rPr>
          <w:rFonts w:ascii="Arial" w:eastAsia="Arial" w:hAnsi="Arial" w:cs="Arial"/>
          <w:b/>
          <w:sz w:val="24"/>
          <w:szCs w:val="24"/>
          <w:highlight w:val="white"/>
          <w:u w:val="single"/>
        </w:rPr>
        <w:lastRenderedPageBreak/>
        <w:t>Partie 3 : La politique salariale d’Ubisoft : un équilibre entre performance financière et performance sociale</w:t>
      </w:r>
      <w:r>
        <w:rPr>
          <w:rFonts w:ascii="Arial" w:eastAsia="Arial" w:hAnsi="Arial" w:cs="Arial"/>
        </w:rPr>
        <w:t xml:space="preserve"> </w:t>
      </w:r>
    </w:p>
    <w:p w14:paraId="4F043980" w14:textId="77777777" w:rsidR="00A14A33" w:rsidRDefault="00000000">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b/>
          <w:sz w:val="24"/>
          <w:szCs w:val="24"/>
        </w:rPr>
      </w:pPr>
      <w:r>
        <w:rPr>
          <w:rFonts w:ascii="Arial" w:eastAsia="Arial" w:hAnsi="Arial" w:cs="Arial"/>
          <w:b/>
          <w:sz w:val="24"/>
          <w:szCs w:val="24"/>
        </w:rPr>
        <w:t xml:space="preserve">Dans cette partie, vous travaillez aux ressources humaines d’Ubisoft. Vous examinez avec la direction la situation. Vous devez concilier deux exigences : l’attractivité de l’entreprise au niveau rémunération et le contrôle de la masse salariale. </w:t>
      </w:r>
    </w:p>
    <w:p w14:paraId="701EC880" w14:textId="77777777" w:rsidR="00A14A33" w:rsidRDefault="00000000">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b/>
          <w:sz w:val="24"/>
          <w:szCs w:val="24"/>
        </w:rPr>
      </w:pPr>
      <w:r>
        <w:rPr>
          <w:rFonts w:ascii="Arial" w:eastAsia="Arial" w:hAnsi="Arial" w:cs="Arial"/>
          <w:b/>
          <w:sz w:val="24"/>
          <w:szCs w:val="24"/>
        </w:rPr>
        <w:t>Vous prenez connaissance du contexte social et analysez la productivité actuelle des salariés.</w:t>
      </w:r>
    </w:p>
    <w:p w14:paraId="67FED101" w14:textId="77777777" w:rsidR="00A14A33" w:rsidRDefault="00A14A33" w:rsidP="00BE7C6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rPr>
      </w:pPr>
    </w:p>
    <w:tbl>
      <w:tblPr>
        <w:tblStyle w:val="aff"/>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A14A33" w14:paraId="18D57463" w14:textId="77777777" w:rsidTr="00BE7C60">
        <w:tc>
          <w:tcPr>
            <w:tcW w:w="10763" w:type="dxa"/>
            <w:shd w:val="clear" w:color="auto" w:fill="auto"/>
            <w:tcMar>
              <w:top w:w="100" w:type="dxa"/>
              <w:left w:w="100" w:type="dxa"/>
              <w:bottom w:w="100" w:type="dxa"/>
              <w:right w:w="100" w:type="dxa"/>
            </w:tcMar>
          </w:tcPr>
          <w:p w14:paraId="35A512F8" w14:textId="17BDA9C2" w:rsidR="00A14A33" w:rsidRDefault="00000000">
            <w:pPr>
              <w:widowControl w:val="0"/>
              <w:spacing w:after="0" w:line="240" w:lineRule="auto"/>
              <w:jc w:val="both"/>
              <w:rPr>
                <w:rFonts w:ascii="Arial" w:eastAsia="Arial" w:hAnsi="Arial" w:cs="Arial"/>
                <w:sz w:val="24"/>
                <w:szCs w:val="24"/>
              </w:rPr>
            </w:pPr>
            <w:r>
              <w:rPr>
                <w:rFonts w:ascii="Arial" w:eastAsia="Arial" w:hAnsi="Arial" w:cs="Arial"/>
                <w:sz w:val="24"/>
                <w:szCs w:val="24"/>
              </w:rPr>
              <w:t xml:space="preserve">Document 9. Une politique de restriction des effectifs au service de la performance financière </w:t>
            </w:r>
          </w:p>
        </w:tc>
      </w:tr>
      <w:tr w:rsidR="00A14A33" w14:paraId="696D1003" w14:textId="77777777" w:rsidTr="00BE7C60">
        <w:trPr>
          <w:trHeight w:val="5310"/>
        </w:trPr>
        <w:tc>
          <w:tcPr>
            <w:tcW w:w="10763" w:type="dxa"/>
            <w:shd w:val="clear" w:color="auto" w:fill="auto"/>
            <w:tcMar>
              <w:top w:w="100" w:type="dxa"/>
              <w:left w:w="100" w:type="dxa"/>
              <w:bottom w:w="100" w:type="dxa"/>
              <w:right w:w="100" w:type="dxa"/>
            </w:tcMar>
          </w:tcPr>
          <w:p w14:paraId="4FDEA798" w14:textId="77777777" w:rsidR="00A14A33" w:rsidRDefault="00000000">
            <w:pPr>
              <w:pBdr>
                <w:top w:val="nil"/>
                <w:left w:val="nil"/>
                <w:bottom w:val="nil"/>
                <w:right w:val="nil"/>
                <w:between w:val="nil"/>
              </w:pBdr>
              <w:shd w:val="clear" w:color="auto" w:fill="FFFFFF"/>
              <w:spacing w:after="0" w:line="264" w:lineRule="auto"/>
              <w:jc w:val="both"/>
              <w:rPr>
                <w:rFonts w:ascii="Arial" w:eastAsia="Arial" w:hAnsi="Arial" w:cs="Arial"/>
                <w:color w:val="000000"/>
              </w:rPr>
            </w:pPr>
            <w:bookmarkStart w:id="0" w:name="_heading=h.bkjyqh4gya64" w:colFirst="0" w:colLast="0"/>
            <w:bookmarkEnd w:id="0"/>
            <w:r>
              <w:rPr>
                <w:rFonts w:ascii="Arial" w:eastAsia="Arial" w:hAnsi="Arial" w:cs="Arial"/>
                <w:color w:val="000000"/>
              </w:rPr>
              <w:t>Le programme de réduction des coûts est en train de fonctionner chez</w:t>
            </w:r>
            <w:hyperlink r:id="rId15">
              <w:r w:rsidR="00A14A33">
                <w:rPr>
                  <w:rFonts w:ascii="Arial" w:eastAsia="Arial" w:hAnsi="Arial" w:cs="Arial"/>
                  <w:color w:val="000000"/>
                </w:rPr>
                <w:t xml:space="preserve"> Ubisoft</w:t>
              </w:r>
            </w:hyperlink>
            <w:r>
              <w:rPr>
                <w:rFonts w:ascii="Arial" w:eastAsia="Arial" w:hAnsi="Arial" w:cs="Arial"/>
                <w:color w:val="000000"/>
              </w:rPr>
              <w:t>. Après un exercice 2022-2023 catastrophique marqué par une perte nette d'un demi-milliard d'euros, Ubisoft a sorti la tête de l'eau grâce à une restructuration qui a porté ses fruits. Plutôt bon signe avant la sortie de titres majeurs comme</w:t>
            </w:r>
            <w:hyperlink r:id="rId16">
              <w:r w:rsidR="00A14A33">
                <w:rPr>
                  <w:rFonts w:ascii="Arial" w:eastAsia="Arial" w:hAnsi="Arial" w:cs="Arial"/>
                  <w:color w:val="000000"/>
                </w:rPr>
                <w:t xml:space="preserve"> Star Wars Outlaws</w:t>
              </w:r>
            </w:hyperlink>
            <w:r>
              <w:rPr>
                <w:rFonts w:ascii="Arial" w:eastAsia="Arial" w:hAnsi="Arial" w:cs="Arial"/>
                <w:color w:val="000000"/>
              </w:rPr>
              <w:t xml:space="preserve"> et</w:t>
            </w:r>
            <w:hyperlink r:id="rId17">
              <w:r w:rsidR="00A14A33">
                <w:rPr>
                  <w:rFonts w:ascii="Arial" w:eastAsia="Arial" w:hAnsi="Arial" w:cs="Arial"/>
                  <w:color w:val="000000"/>
                </w:rPr>
                <w:t xml:space="preserve"> Assassin's Creed </w:t>
              </w:r>
              <w:proofErr w:type="spellStart"/>
              <w:r w:rsidR="00A14A33">
                <w:rPr>
                  <w:rFonts w:ascii="Arial" w:eastAsia="Arial" w:hAnsi="Arial" w:cs="Arial"/>
                  <w:color w:val="000000"/>
                </w:rPr>
                <w:t>Shadows</w:t>
              </w:r>
              <w:proofErr w:type="spellEnd"/>
            </w:hyperlink>
            <w:r>
              <w:rPr>
                <w:rFonts w:ascii="Arial" w:eastAsia="Arial" w:hAnsi="Arial" w:cs="Arial"/>
                <w:color w:val="000000"/>
              </w:rPr>
              <w:t>.</w:t>
            </w:r>
          </w:p>
          <w:p w14:paraId="2BD063D0" w14:textId="77777777" w:rsidR="00A14A33" w:rsidRDefault="00A14A33">
            <w:pPr>
              <w:pBdr>
                <w:top w:val="nil"/>
                <w:left w:val="nil"/>
                <w:bottom w:val="nil"/>
                <w:right w:val="nil"/>
                <w:between w:val="nil"/>
              </w:pBdr>
              <w:shd w:val="clear" w:color="auto" w:fill="FFFFFF"/>
              <w:spacing w:after="0" w:line="264" w:lineRule="auto"/>
              <w:jc w:val="both"/>
              <w:rPr>
                <w:rFonts w:ascii="Arial" w:eastAsia="Arial" w:hAnsi="Arial" w:cs="Arial"/>
                <w:color w:val="000000"/>
              </w:rPr>
            </w:pPr>
            <w:bookmarkStart w:id="1" w:name="_heading=h.ja0g3g24n1gv" w:colFirst="0" w:colLast="0"/>
            <w:bookmarkEnd w:id="1"/>
          </w:p>
          <w:p w14:paraId="7491E41F" w14:textId="77777777" w:rsidR="00A14A33" w:rsidRDefault="00000000">
            <w:pPr>
              <w:pBdr>
                <w:top w:val="nil"/>
                <w:left w:val="nil"/>
                <w:bottom w:val="nil"/>
                <w:right w:val="nil"/>
                <w:between w:val="nil"/>
              </w:pBdr>
              <w:shd w:val="clear" w:color="auto" w:fill="FFFFFF"/>
              <w:spacing w:after="0" w:line="264" w:lineRule="auto"/>
              <w:jc w:val="both"/>
              <w:rPr>
                <w:rFonts w:ascii="Times New Roman" w:eastAsia="Times New Roman" w:hAnsi="Times New Roman" w:cs="Times New Roman"/>
                <w:b/>
                <w:color w:val="000000"/>
                <w:sz w:val="27"/>
                <w:szCs w:val="27"/>
              </w:rPr>
            </w:pPr>
            <w:bookmarkStart w:id="2" w:name="_heading=h.35uzv6yjt4pn" w:colFirst="0" w:colLast="0"/>
            <w:bookmarkEnd w:id="2"/>
            <w:r>
              <w:rPr>
                <w:rFonts w:ascii="Arial" w:eastAsia="Arial" w:hAnsi="Arial" w:cs="Arial"/>
                <w:color w:val="000000"/>
              </w:rPr>
              <w:t xml:space="preserve">Non content de sortir le plus gros chiffre d'affaires de son histoire (2,3 milliards d'euros, en hausse de 27%) Ubisoft a changé de visage avec un résultat opérationnel de 314 millions d'euros et un résultat net de 158 millions d'euros, loin des lourdes pertes enregistrées un an plus tôt. Le PDG Yves Guillemot avait annoncé un objectif de réduction annuelle des coûts de 200 millions d'euros d'ici 2025-26. Or, celui-ci est très bien engagé puisque l'entreprise a déjà réduit ses coûts fixes de 150 millions d’euros à fin mars 2024. Ceci « </w:t>
            </w:r>
            <w:r>
              <w:rPr>
                <w:rFonts w:ascii="Arial" w:eastAsia="Arial" w:hAnsi="Arial" w:cs="Arial"/>
                <w:i/>
                <w:color w:val="000000"/>
              </w:rPr>
              <w:t>grâce à un contrôle strict des recrutements, à des restructurations ciblées et à un effet de change favorable</w:t>
            </w:r>
            <w:r>
              <w:rPr>
                <w:rFonts w:ascii="Arial" w:eastAsia="Arial" w:hAnsi="Arial" w:cs="Arial"/>
                <w:color w:val="000000"/>
              </w:rPr>
              <w:t xml:space="preserve"> », peut-on lire. En taillant dans les effectifs du groupe, Ubisoft a fait baisser le nombre de ses employés à 19 011 fin mars, soit une baisse de plus de 1 700 personnes depuis septembre 2022. Notons que cet effectif reste encore bien plus élevé que celui d'un </w:t>
            </w:r>
            <w:proofErr w:type="spellStart"/>
            <w:r>
              <w:rPr>
                <w:rFonts w:ascii="Arial" w:eastAsia="Arial" w:hAnsi="Arial" w:cs="Arial"/>
                <w:color w:val="000000"/>
              </w:rPr>
              <w:t>Electronic</w:t>
            </w:r>
            <w:proofErr w:type="spellEnd"/>
            <w:r>
              <w:rPr>
                <w:rFonts w:ascii="Arial" w:eastAsia="Arial" w:hAnsi="Arial" w:cs="Arial"/>
                <w:color w:val="000000"/>
              </w:rPr>
              <w:t xml:space="preserve"> Arts (13 000) ou d'un </w:t>
            </w:r>
            <w:proofErr w:type="spellStart"/>
            <w:r>
              <w:rPr>
                <w:rFonts w:ascii="Arial" w:eastAsia="Arial" w:hAnsi="Arial" w:cs="Arial"/>
                <w:color w:val="000000"/>
              </w:rPr>
              <w:t>Take-Two</w:t>
            </w:r>
            <w:proofErr w:type="spellEnd"/>
            <w:r>
              <w:rPr>
                <w:rFonts w:ascii="Arial" w:eastAsia="Arial" w:hAnsi="Arial" w:cs="Arial"/>
                <w:color w:val="000000"/>
              </w:rPr>
              <w:t xml:space="preserve"> (11 000).</w:t>
            </w:r>
          </w:p>
          <w:p w14:paraId="1BE976FE" w14:textId="77777777" w:rsidR="00A14A33" w:rsidRDefault="00A14A33">
            <w:pPr>
              <w:spacing w:after="0" w:line="240" w:lineRule="auto"/>
            </w:pPr>
          </w:p>
          <w:p w14:paraId="6686C051" w14:textId="77777777" w:rsidR="00A14A33" w:rsidRDefault="00000000" w:rsidP="007F78B4">
            <w:pPr>
              <w:spacing w:after="0" w:line="240" w:lineRule="auto"/>
              <w:jc w:val="center"/>
            </w:pPr>
            <w:r>
              <w:rPr>
                <w:noProof/>
              </w:rPr>
              <w:drawing>
                <wp:inline distT="114300" distB="114300" distL="114300" distR="114300" wp14:anchorId="020245B0" wp14:editId="63D11C61">
                  <wp:extent cx="6362700" cy="1476375"/>
                  <wp:effectExtent l="0" t="0" r="0" b="9525"/>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362700" cy="1476375"/>
                          </a:xfrm>
                          <a:prstGeom prst="rect">
                            <a:avLst/>
                          </a:prstGeom>
                          <a:ln/>
                        </pic:spPr>
                      </pic:pic>
                    </a:graphicData>
                  </a:graphic>
                </wp:inline>
              </w:drawing>
            </w:r>
          </w:p>
          <w:p w14:paraId="5A8CDFA8" w14:textId="069EDE2A" w:rsidR="00A14A33" w:rsidRDefault="00000000">
            <w:pPr>
              <w:pBdr>
                <w:top w:val="nil"/>
                <w:left w:val="nil"/>
                <w:bottom w:val="nil"/>
                <w:right w:val="nil"/>
                <w:between w:val="nil"/>
              </w:pBdr>
              <w:shd w:val="clear" w:color="auto" w:fill="FFFFFF"/>
              <w:spacing w:after="0" w:line="264" w:lineRule="auto"/>
              <w:jc w:val="right"/>
              <w:rPr>
                <w:rFonts w:ascii="Arial" w:eastAsia="Arial" w:hAnsi="Arial" w:cs="Arial"/>
                <w:i/>
                <w:color w:val="000000"/>
              </w:rPr>
            </w:pPr>
            <w:bookmarkStart w:id="3" w:name="_heading=h.39y1kwkceb3" w:colFirst="0" w:colLast="0"/>
            <w:bookmarkEnd w:id="3"/>
            <w:proofErr w:type="gramStart"/>
            <w:r>
              <w:rPr>
                <w:rFonts w:ascii="Arial" w:eastAsia="Arial" w:hAnsi="Arial" w:cs="Arial"/>
                <w:i/>
                <w:color w:val="000000"/>
              </w:rPr>
              <w:t>Source:</w:t>
            </w:r>
            <w:proofErr w:type="gramEnd"/>
            <w:r>
              <w:rPr>
                <w:rFonts w:ascii="Arial" w:eastAsia="Arial" w:hAnsi="Arial" w:cs="Arial"/>
                <w:i/>
                <w:color w:val="000000"/>
              </w:rPr>
              <w:t xml:space="preserve"> Gamekult.com</w:t>
            </w:r>
          </w:p>
        </w:tc>
      </w:tr>
    </w:tbl>
    <w:p w14:paraId="180C3715" w14:textId="77777777" w:rsidR="00A14A33" w:rsidRDefault="00000000">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sz w:val="24"/>
          <w:szCs w:val="24"/>
        </w:rPr>
      </w:pPr>
      <w:r>
        <w:rPr>
          <w:rFonts w:ascii="Arial" w:eastAsia="Arial" w:hAnsi="Arial" w:cs="Arial"/>
          <w:sz w:val="24"/>
          <w:szCs w:val="24"/>
        </w:rPr>
        <w:t xml:space="preserve">Nous estimons que les concurrents </w:t>
      </w:r>
      <w:proofErr w:type="spellStart"/>
      <w:r>
        <w:rPr>
          <w:rFonts w:ascii="Arial" w:eastAsia="Arial" w:hAnsi="Arial" w:cs="Arial"/>
          <w:sz w:val="24"/>
          <w:szCs w:val="24"/>
        </w:rPr>
        <w:t>ElectronicArts</w:t>
      </w:r>
      <w:proofErr w:type="spellEnd"/>
      <w:r>
        <w:rPr>
          <w:rFonts w:ascii="Arial" w:eastAsia="Arial" w:hAnsi="Arial" w:cs="Arial"/>
          <w:sz w:val="24"/>
          <w:szCs w:val="24"/>
        </w:rPr>
        <w:t xml:space="preserve"> et </w:t>
      </w:r>
      <w:proofErr w:type="spellStart"/>
      <w:r>
        <w:rPr>
          <w:rFonts w:ascii="Arial" w:eastAsia="Arial" w:hAnsi="Arial" w:cs="Arial"/>
          <w:sz w:val="24"/>
          <w:szCs w:val="24"/>
        </w:rPr>
        <w:t>Take-two</w:t>
      </w:r>
      <w:proofErr w:type="spellEnd"/>
      <w:r>
        <w:rPr>
          <w:rFonts w:ascii="Arial" w:eastAsia="Arial" w:hAnsi="Arial" w:cs="Arial"/>
          <w:sz w:val="24"/>
          <w:szCs w:val="24"/>
        </w:rPr>
        <w:t xml:space="preserve"> ont respectivement un chiffre d’affaires de 6,6 milliards d’euros et de 4,9 milliards d’euros sur la période avril 2023 - mars 2024.</w:t>
      </w:r>
    </w:p>
    <w:p w14:paraId="27A9DB00" w14:textId="77777777" w:rsidR="00A14A33" w:rsidRDefault="00A14A33">
      <w:pPr>
        <w:spacing w:after="280" w:line="240" w:lineRule="auto"/>
        <w:jc w:val="both"/>
        <w:rPr>
          <w:rFonts w:ascii="Arial" w:eastAsia="Arial" w:hAnsi="Arial" w:cs="Arial"/>
          <w:b/>
          <w:sz w:val="24"/>
          <w:szCs w:val="24"/>
        </w:rPr>
      </w:pPr>
    </w:p>
    <w:p w14:paraId="44371304" w14:textId="1F0B2D58"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18. Calculer la productivité de chaque salarié sur la période avril 2022 - mars 2023 puis sur celle de</w:t>
      </w:r>
      <w:r w:rsidR="00125D7B">
        <w:rPr>
          <w:rFonts w:ascii="Arial" w:eastAsia="Arial" w:hAnsi="Arial" w:cs="Arial"/>
          <w:b/>
          <w:sz w:val="24"/>
          <w:szCs w:val="24"/>
        </w:rPr>
        <w:t> :</w:t>
      </w:r>
      <w:r>
        <w:rPr>
          <w:rFonts w:ascii="Arial" w:eastAsia="Arial" w:hAnsi="Arial" w:cs="Arial"/>
          <w:b/>
          <w:sz w:val="24"/>
          <w:szCs w:val="24"/>
        </w:rPr>
        <w:t xml:space="preserve"> avril 2023 - mars 2024 (par simplification, nous considérerons que la baisse des effectifs est intervenue subitement entre ces deux périodes). Les résultats seront arrondis à l’unité.</w:t>
      </w:r>
    </w:p>
    <w:p w14:paraId="5D750D8B"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 xml:space="preserve">19. Calculer le taux d’évolution de la productivité d’Ubisoft entre les périodes avril 2022 - mars 2023 et avril 2023 - mars 2024. Commenter. </w:t>
      </w:r>
    </w:p>
    <w:p w14:paraId="54EEC542"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 xml:space="preserve">20. Commenter la productivité d’Ubisoft sur le marché. </w:t>
      </w:r>
    </w:p>
    <w:p w14:paraId="353A4259" w14:textId="7A568CEA" w:rsidR="00BE7C60" w:rsidRDefault="00BE7C60">
      <w:pPr>
        <w:rPr>
          <w:rFonts w:ascii="Arial" w:eastAsia="Arial" w:hAnsi="Arial" w:cs="Arial"/>
          <w:i/>
          <w:color w:val="5B9BD5" w:themeColor="accent1"/>
          <w:sz w:val="24"/>
          <w:szCs w:val="24"/>
        </w:rPr>
      </w:pPr>
      <w:r>
        <w:rPr>
          <w:rFonts w:ascii="Arial" w:eastAsia="Arial" w:hAnsi="Arial" w:cs="Arial"/>
          <w:i/>
          <w:color w:val="5B9BD5" w:themeColor="accent1"/>
          <w:sz w:val="24"/>
          <w:szCs w:val="24"/>
        </w:rPr>
        <w:br w:type="page"/>
      </w:r>
    </w:p>
    <w:tbl>
      <w:tblPr>
        <w:tblStyle w:val="aff0"/>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A14A33" w14:paraId="5F6E6B57" w14:textId="77777777" w:rsidTr="00BE7C60">
        <w:tc>
          <w:tcPr>
            <w:tcW w:w="10763" w:type="dxa"/>
            <w:shd w:val="clear" w:color="auto" w:fill="auto"/>
            <w:tcMar>
              <w:top w:w="100" w:type="dxa"/>
              <w:left w:w="100" w:type="dxa"/>
              <w:bottom w:w="100" w:type="dxa"/>
              <w:right w:w="100" w:type="dxa"/>
            </w:tcMar>
          </w:tcPr>
          <w:p w14:paraId="171017D1" w14:textId="17B0F9BD" w:rsidR="00A14A33" w:rsidRDefault="00000000">
            <w:pPr>
              <w:widowControl w:val="0"/>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Document </w:t>
            </w:r>
            <w:proofErr w:type="gramStart"/>
            <w:r>
              <w:rPr>
                <w:rFonts w:ascii="Arial" w:eastAsia="Arial" w:hAnsi="Arial" w:cs="Arial"/>
                <w:sz w:val="24"/>
                <w:szCs w:val="24"/>
              </w:rPr>
              <w:t>9:</w:t>
            </w:r>
            <w:proofErr w:type="gramEnd"/>
            <w:r>
              <w:rPr>
                <w:rFonts w:ascii="Arial" w:eastAsia="Arial" w:hAnsi="Arial" w:cs="Arial"/>
                <w:sz w:val="24"/>
                <w:szCs w:val="24"/>
              </w:rPr>
              <w:t xml:space="preserve"> Les NAO 2024 d’Ubisoft</w:t>
            </w:r>
          </w:p>
        </w:tc>
      </w:tr>
      <w:tr w:rsidR="00A14A33" w14:paraId="727C62C9" w14:textId="77777777" w:rsidTr="00BE7C60">
        <w:tc>
          <w:tcPr>
            <w:tcW w:w="10763" w:type="dxa"/>
            <w:shd w:val="clear" w:color="auto" w:fill="auto"/>
            <w:tcMar>
              <w:top w:w="100" w:type="dxa"/>
              <w:left w:w="100" w:type="dxa"/>
              <w:bottom w:w="100" w:type="dxa"/>
              <w:right w:w="100" w:type="dxa"/>
            </w:tcMar>
          </w:tcPr>
          <w:p w14:paraId="2A18CE36" w14:textId="77777777" w:rsidR="00A14A33" w:rsidRDefault="00000000">
            <w:pPr>
              <w:spacing w:after="240" w:line="240" w:lineRule="auto"/>
              <w:jc w:val="both"/>
              <w:rPr>
                <w:rFonts w:ascii="Arial" w:eastAsia="Arial" w:hAnsi="Arial" w:cs="Arial"/>
                <w:b/>
              </w:rPr>
            </w:pPr>
            <w:r>
              <w:rPr>
                <w:rFonts w:ascii="Arial" w:eastAsia="Arial" w:hAnsi="Arial" w:cs="Arial"/>
                <w:b/>
              </w:rPr>
              <w:t>Accord sur les mesures salariales 2023</w:t>
            </w:r>
          </w:p>
          <w:p w14:paraId="14ABACC9" w14:textId="77777777" w:rsidR="00A14A33" w:rsidRDefault="00000000">
            <w:pPr>
              <w:spacing w:before="240" w:after="240" w:line="240" w:lineRule="auto"/>
              <w:jc w:val="both"/>
              <w:rPr>
                <w:rFonts w:ascii="Arial" w:eastAsia="Arial" w:hAnsi="Arial" w:cs="Arial"/>
              </w:rPr>
            </w:pPr>
            <w:r>
              <w:rPr>
                <w:rFonts w:ascii="Arial" w:eastAsia="Arial" w:hAnsi="Arial" w:cs="Arial"/>
              </w:rPr>
              <w:t>Entre les sociétés :</w:t>
            </w:r>
          </w:p>
          <w:p w14:paraId="19105338" w14:textId="77777777" w:rsidR="00A14A33" w:rsidRDefault="00000000">
            <w:pPr>
              <w:numPr>
                <w:ilvl w:val="0"/>
                <w:numId w:val="15"/>
              </w:numPr>
              <w:spacing w:before="240" w:after="0" w:line="240" w:lineRule="auto"/>
              <w:jc w:val="both"/>
              <w:rPr>
                <w:rFonts w:ascii="Arial" w:eastAsia="Arial" w:hAnsi="Arial" w:cs="Arial"/>
              </w:rPr>
            </w:pPr>
            <w:r>
              <w:rPr>
                <w:rFonts w:ascii="Arial" w:eastAsia="Arial" w:hAnsi="Arial" w:cs="Arial"/>
              </w:rPr>
              <w:t xml:space="preserve">UBISOFT INTERNATIONAL, Société par Actions Simplifiée à capital variable, dont le siège est sis : 2 avenue Pasteur 94160 Saint-Mandé, immatriculée au registre du commerce et des sociétés de Créteil sous le numéro 501 430 532 </w:t>
            </w:r>
          </w:p>
          <w:p w14:paraId="225547AA" w14:textId="77777777" w:rsidR="00A14A33" w:rsidRDefault="00000000" w:rsidP="008B76E0">
            <w:pPr>
              <w:numPr>
                <w:ilvl w:val="0"/>
                <w:numId w:val="15"/>
              </w:numPr>
              <w:spacing w:after="0" w:line="240" w:lineRule="auto"/>
              <w:jc w:val="both"/>
              <w:rPr>
                <w:rFonts w:ascii="Arial" w:eastAsia="Arial" w:hAnsi="Arial" w:cs="Arial"/>
              </w:rPr>
            </w:pPr>
            <w:proofErr w:type="gramStart"/>
            <w:r>
              <w:rPr>
                <w:rFonts w:ascii="Arial" w:eastAsia="Arial" w:hAnsi="Arial" w:cs="Arial"/>
              </w:rPr>
              <w:t>les</w:t>
            </w:r>
            <w:proofErr w:type="gramEnd"/>
            <w:r>
              <w:rPr>
                <w:rFonts w:ascii="Arial" w:eastAsia="Arial" w:hAnsi="Arial" w:cs="Arial"/>
              </w:rPr>
              <w:t xml:space="preserve"> Organisations syndicales représentatives au niveau de l’entreprise</w:t>
            </w:r>
          </w:p>
          <w:p w14:paraId="3CAB00B3" w14:textId="162E21F9" w:rsidR="00A14A33" w:rsidRDefault="008B76E0" w:rsidP="00BE7C60">
            <w:pPr>
              <w:spacing w:before="240" w:after="0" w:line="240" w:lineRule="auto"/>
              <w:jc w:val="both"/>
              <w:rPr>
                <w:rFonts w:ascii="Arial" w:eastAsia="Arial" w:hAnsi="Arial" w:cs="Arial"/>
              </w:rPr>
            </w:pPr>
            <w:r>
              <w:rPr>
                <w:rFonts w:ascii="Arial" w:eastAsia="Arial" w:hAnsi="Arial" w:cs="Arial"/>
              </w:rPr>
              <w:t>[</w:t>
            </w:r>
            <w:r w:rsidR="00000000">
              <w:rPr>
                <w:rFonts w:ascii="Arial" w:eastAsia="Arial" w:hAnsi="Arial" w:cs="Arial"/>
              </w:rPr>
              <w:t>…</w:t>
            </w:r>
            <w:r>
              <w:rPr>
                <w:rFonts w:ascii="Arial" w:eastAsia="Arial" w:hAnsi="Arial" w:cs="Arial"/>
              </w:rPr>
              <w:t>]</w:t>
            </w:r>
          </w:p>
          <w:p w14:paraId="0746B8DC" w14:textId="77777777" w:rsidR="00A14A33" w:rsidRDefault="00000000">
            <w:pPr>
              <w:spacing w:before="240" w:after="240" w:line="240" w:lineRule="auto"/>
              <w:jc w:val="both"/>
              <w:rPr>
                <w:rFonts w:ascii="Arial" w:eastAsia="Arial" w:hAnsi="Arial" w:cs="Arial"/>
              </w:rPr>
            </w:pPr>
            <w:r>
              <w:rPr>
                <w:rFonts w:ascii="Arial" w:eastAsia="Arial" w:hAnsi="Arial" w:cs="Arial"/>
              </w:rPr>
              <w:t>Une enveloppe totale de 2,4 % de la masse salariale sera attribuée aux Directions au titre de la campagne d’augmentation sur l’année fiscale 2023/2024. Cette enveloppe se répartit entre une mesure d’Augmentation Uniforme échelonnée et une mesure d’Augmentation Individuelle liée à la performance.</w:t>
            </w:r>
          </w:p>
          <w:p w14:paraId="3F2E7DA1" w14:textId="77777777" w:rsidR="00A14A33" w:rsidRDefault="00000000" w:rsidP="008B76E0">
            <w:pPr>
              <w:numPr>
                <w:ilvl w:val="0"/>
                <w:numId w:val="11"/>
              </w:numPr>
              <w:spacing w:before="240" w:after="0" w:line="240" w:lineRule="auto"/>
              <w:jc w:val="both"/>
              <w:rPr>
                <w:rFonts w:ascii="Arial" w:eastAsia="Arial" w:hAnsi="Arial" w:cs="Arial"/>
              </w:rPr>
            </w:pPr>
            <w:r>
              <w:rPr>
                <w:rFonts w:ascii="Arial" w:eastAsia="Arial" w:hAnsi="Arial" w:cs="Arial"/>
                <w:b/>
              </w:rPr>
              <w:t>Augmentation Uniforme échelonnée</w:t>
            </w:r>
          </w:p>
          <w:p w14:paraId="79643633" w14:textId="77777777" w:rsidR="008B76E0" w:rsidRDefault="00000000" w:rsidP="008B76E0">
            <w:pPr>
              <w:spacing w:after="0" w:line="240" w:lineRule="auto"/>
              <w:jc w:val="both"/>
              <w:rPr>
                <w:rFonts w:ascii="Arial" w:eastAsia="Arial" w:hAnsi="Arial" w:cs="Arial"/>
              </w:rPr>
            </w:pPr>
            <w:r>
              <w:rPr>
                <w:rFonts w:ascii="Arial" w:eastAsia="Arial" w:hAnsi="Arial" w:cs="Arial"/>
              </w:rPr>
              <w:t>Cette mesure prendra la forme d’une augmentation des salaires de base d’un montant défini en euros pour chaque collaboratrice et collaborateur.</w:t>
            </w:r>
          </w:p>
          <w:p w14:paraId="3D74EECE" w14:textId="14803984" w:rsidR="008B76E0" w:rsidRDefault="00000000" w:rsidP="008B76E0">
            <w:pPr>
              <w:spacing w:after="0" w:line="240" w:lineRule="auto"/>
              <w:jc w:val="both"/>
              <w:rPr>
                <w:rFonts w:ascii="Arial" w:eastAsia="Arial" w:hAnsi="Arial" w:cs="Arial"/>
              </w:rPr>
            </w:pPr>
            <w:r>
              <w:rPr>
                <w:rFonts w:ascii="Arial" w:eastAsia="Arial" w:hAnsi="Arial" w:cs="Arial"/>
              </w:rPr>
              <w:t>Le montant de l’augmentation brute annuelle est fixé en fonction du salaire annuel de base, sur la base d’un temps complet. (...)</w:t>
            </w:r>
          </w:p>
          <w:p w14:paraId="75965BAF" w14:textId="49FA277B" w:rsidR="00A14A33" w:rsidRDefault="00000000" w:rsidP="008B76E0">
            <w:pPr>
              <w:spacing w:after="0" w:line="240" w:lineRule="auto"/>
              <w:jc w:val="both"/>
              <w:rPr>
                <w:rFonts w:ascii="Arial" w:eastAsia="Arial" w:hAnsi="Arial" w:cs="Arial"/>
              </w:rPr>
            </w:pPr>
            <w:r>
              <w:rPr>
                <w:rFonts w:ascii="Arial" w:eastAsia="Arial" w:hAnsi="Arial" w:cs="Arial"/>
              </w:rPr>
              <w:t>Son versement sera effectué à compter de la paye de juin 2024, avec effet rétroactif au 1er avril 2024.</w:t>
            </w:r>
          </w:p>
          <w:p w14:paraId="24482C61" w14:textId="77777777" w:rsidR="00A14A33" w:rsidRDefault="00000000" w:rsidP="008B76E0">
            <w:pPr>
              <w:numPr>
                <w:ilvl w:val="0"/>
                <w:numId w:val="11"/>
              </w:numPr>
              <w:spacing w:before="240" w:after="0" w:line="240" w:lineRule="auto"/>
              <w:jc w:val="both"/>
              <w:rPr>
                <w:rFonts w:ascii="Arial" w:eastAsia="Arial" w:hAnsi="Arial" w:cs="Arial"/>
              </w:rPr>
            </w:pPr>
            <w:r>
              <w:rPr>
                <w:rFonts w:ascii="Arial" w:eastAsia="Arial" w:hAnsi="Arial" w:cs="Arial"/>
                <w:b/>
              </w:rPr>
              <w:t>Augmentations individuelles liées à la performance</w:t>
            </w:r>
          </w:p>
          <w:p w14:paraId="147D2026" w14:textId="77777777" w:rsidR="008B76E0" w:rsidRDefault="00000000" w:rsidP="008B76E0">
            <w:pPr>
              <w:spacing w:before="240" w:after="0" w:line="240" w:lineRule="auto"/>
              <w:jc w:val="both"/>
              <w:rPr>
                <w:rFonts w:ascii="Arial" w:eastAsia="Arial" w:hAnsi="Arial" w:cs="Arial"/>
              </w:rPr>
            </w:pPr>
            <w:r>
              <w:rPr>
                <w:rFonts w:ascii="Arial" w:eastAsia="Arial" w:hAnsi="Arial" w:cs="Arial"/>
              </w:rPr>
              <w:t>Le reste de l’enveloppe globale d’augmentation de la masse salariale sera attribué aux augmentations liées à la performance.</w:t>
            </w:r>
          </w:p>
          <w:p w14:paraId="7FDB5CFA" w14:textId="1F471851" w:rsidR="00A14A33" w:rsidRDefault="00000000" w:rsidP="008B76E0">
            <w:pPr>
              <w:spacing w:after="0" w:line="240" w:lineRule="auto"/>
              <w:jc w:val="both"/>
              <w:rPr>
                <w:rFonts w:ascii="Arial" w:eastAsia="Arial" w:hAnsi="Arial" w:cs="Arial"/>
              </w:rPr>
            </w:pPr>
            <w:r>
              <w:rPr>
                <w:rFonts w:ascii="Arial" w:eastAsia="Arial" w:hAnsi="Arial" w:cs="Arial"/>
              </w:rPr>
              <w:t>Seuls les collaboratrices et collaborateurs dont la performance est évaluée à minima comme solide sur l’année fiscale 2023/2024 seront éligibles à une augmentation liée à la performance. Le cas échéant, son versement sera effectué à compter de la paye de juin 2024, avec effet rétroactif au 1er avril 2024.</w:t>
            </w:r>
          </w:p>
          <w:p w14:paraId="1D8AD790" w14:textId="344D61E2" w:rsidR="00A14A33" w:rsidRDefault="00000000">
            <w:pPr>
              <w:spacing w:after="0" w:line="240" w:lineRule="auto"/>
              <w:jc w:val="right"/>
              <w:rPr>
                <w:rFonts w:ascii="Arial" w:eastAsia="Arial" w:hAnsi="Arial" w:cs="Arial"/>
                <w:i/>
              </w:rPr>
            </w:pPr>
            <w:proofErr w:type="gramStart"/>
            <w:r>
              <w:rPr>
                <w:rFonts w:ascii="Arial" w:eastAsia="Arial" w:hAnsi="Arial" w:cs="Arial"/>
                <w:i/>
              </w:rPr>
              <w:t>Source:</w:t>
            </w:r>
            <w:proofErr w:type="gramEnd"/>
            <w:r>
              <w:rPr>
                <w:rFonts w:ascii="Arial" w:eastAsia="Arial" w:hAnsi="Arial" w:cs="Arial"/>
                <w:i/>
              </w:rPr>
              <w:t xml:space="preserve"> Maitredata.com</w:t>
            </w:r>
          </w:p>
        </w:tc>
      </w:tr>
    </w:tbl>
    <w:p w14:paraId="5C8F3D0D" w14:textId="77777777" w:rsidR="00BE7C60" w:rsidRDefault="00BE7C60" w:rsidP="00BE7C60"/>
    <w:p w14:paraId="35233FA0" w14:textId="45B56FCF" w:rsidR="00A14A33" w:rsidRPr="008B76E0" w:rsidRDefault="00000000" w:rsidP="00BE7C60">
      <w:pPr>
        <w:rPr>
          <w:rFonts w:ascii="Arial" w:eastAsia="Arial" w:hAnsi="Arial" w:cs="Arial"/>
          <w:b/>
          <w:bCs/>
          <w:color w:val="388600"/>
        </w:rPr>
      </w:pPr>
      <w:r w:rsidRPr="008B76E0">
        <w:rPr>
          <w:rFonts w:ascii="Arial" w:eastAsia="Arial" w:hAnsi="Arial" w:cs="Arial"/>
          <w:b/>
          <w:bCs/>
          <w:color w:val="388600"/>
        </w:rPr>
        <w:t>Point Culture Ressources Humaines</w:t>
      </w:r>
    </w:p>
    <w:p w14:paraId="244CB94A" w14:textId="77777777" w:rsidR="00A14A33" w:rsidRPr="008B76E0" w:rsidRDefault="00000000" w:rsidP="00BE7C60">
      <w:pPr>
        <w:rPr>
          <w:rFonts w:ascii="Arial" w:eastAsia="Arial" w:hAnsi="Arial" w:cs="Arial"/>
          <w:color w:val="388600"/>
        </w:rPr>
      </w:pPr>
      <w:r w:rsidRPr="008B76E0">
        <w:rPr>
          <w:rFonts w:ascii="Arial" w:eastAsia="Arial" w:hAnsi="Arial" w:cs="Arial"/>
          <w:color w:val="388600"/>
        </w:rPr>
        <w:t>La Négociation Annuelle Obligatoire est un processus encadré par le Code du travail. Elle a pour objectif de garantir que l’ensemble des salarié(e)s par l’intermédiaire de leurs représentants, discutent des conditions de travail et de leur rémunération avec la direction. C’est à la fois une obligation légale, mais aussi une occasion de faire évoluer les conditions de travail en accord avec les besoins actuels et futurs de l’entreprise.</w:t>
      </w:r>
    </w:p>
    <w:p w14:paraId="706D23C9"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21. Calculer l’impact de la NAO 2023-2024 sur la masse salariale de 2024.</w:t>
      </w:r>
    </w:p>
    <w:p w14:paraId="55CFDB3B" w14:textId="77777777" w:rsidR="00A14A33" w:rsidRDefault="00000000">
      <w:pPr>
        <w:spacing w:after="280" w:line="240" w:lineRule="auto"/>
        <w:jc w:val="both"/>
        <w:rPr>
          <w:rFonts w:ascii="Arial" w:eastAsia="Arial" w:hAnsi="Arial" w:cs="Arial"/>
          <w:sz w:val="24"/>
          <w:szCs w:val="24"/>
        </w:rPr>
      </w:pPr>
      <w:r>
        <w:rPr>
          <w:rFonts w:ascii="Arial" w:eastAsia="Arial" w:hAnsi="Arial" w:cs="Arial"/>
          <w:sz w:val="24"/>
          <w:szCs w:val="24"/>
        </w:rPr>
        <w:t>Les rumeurs persistantes sur un possible rachat et les incertitudes à propos du changement de gouvernance inquiètent les salariés. Elles pourraient à terme influencer négativement l’attractivité de l’entreprise. Pourtant, ce sont des métiers en tension et Ubisoft et vous vous devez de réagir pour continuer à attirer les talents.</w:t>
      </w:r>
    </w:p>
    <w:p w14:paraId="221A3928" w14:textId="03220367" w:rsidR="008B76E0" w:rsidRDefault="00000000">
      <w:pPr>
        <w:spacing w:after="280" w:line="240" w:lineRule="auto"/>
        <w:jc w:val="both"/>
        <w:rPr>
          <w:rFonts w:ascii="Arial" w:eastAsia="Arial" w:hAnsi="Arial" w:cs="Arial"/>
          <w:sz w:val="24"/>
          <w:szCs w:val="24"/>
        </w:rPr>
      </w:pPr>
      <w:r>
        <w:rPr>
          <w:rFonts w:ascii="Arial" w:eastAsia="Arial" w:hAnsi="Arial" w:cs="Arial"/>
          <w:sz w:val="24"/>
          <w:szCs w:val="24"/>
        </w:rPr>
        <w:t xml:space="preserve">En concertation avec la direction de l’entreprise, vous envisagez de mettre en place une politique salariale ambitieuse pour les années 2025 - 2035. Celle-ci renforcera la marque employeur de l’entreprise mais fera augmenter la masse salariale. </w:t>
      </w:r>
      <w:r>
        <w:rPr>
          <w:rFonts w:ascii="Arial" w:eastAsia="Arial" w:hAnsi="Arial" w:cs="Arial"/>
          <w:b/>
          <w:sz w:val="24"/>
          <w:szCs w:val="24"/>
        </w:rPr>
        <w:t xml:space="preserve">L’objectif de cette politique salariale est de garantir aux collaborateurs une augmentation supérieure de 1% à l’inflation moyenne prévisible des années 2025 - 2035. </w:t>
      </w:r>
      <w:r>
        <w:rPr>
          <w:rFonts w:ascii="Arial" w:eastAsia="Arial" w:hAnsi="Arial" w:cs="Arial"/>
          <w:sz w:val="24"/>
          <w:szCs w:val="24"/>
        </w:rPr>
        <w:t>Vous espérez ainsi, en attirant les meilleurs talents, améliorer votre productivité par tête.</w:t>
      </w:r>
    </w:p>
    <w:p w14:paraId="4AE92B95" w14:textId="77777777" w:rsidR="008B76E0" w:rsidRDefault="008B76E0">
      <w:pPr>
        <w:rPr>
          <w:rFonts w:ascii="Arial" w:eastAsia="Arial" w:hAnsi="Arial" w:cs="Arial"/>
          <w:sz w:val="24"/>
          <w:szCs w:val="24"/>
        </w:rPr>
      </w:pPr>
      <w:r>
        <w:rPr>
          <w:rFonts w:ascii="Arial" w:eastAsia="Arial" w:hAnsi="Arial" w:cs="Arial"/>
          <w:sz w:val="24"/>
          <w:szCs w:val="24"/>
        </w:rPr>
        <w:br w:type="page"/>
      </w:r>
    </w:p>
    <w:tbl>
      <w:tblPr>
        <w:tblStyle w:val="aff1"/>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A14A33" w14:paraId="63FD6638" w14:textId="77777777" w:rsidTr="008B76E0">
        <w:tc>
          <w:tcPr>
            <w:tcW w:w="10763" w:type="dxa"/>
            <w:shd w:val="clear" w:color="auto" w:fill="auto"/>
            <w:tcMar>
              <w:top w:w="100" w:type="dxa"/>
              <w:left w:w="100" w:type="dxa"/>
              <w:bottom w:w="100" w:type="dxa"/>
              <w:right w:w="100" w:type="dxa"/>
            </w:tcMar>
          </w:tcPr>
          <w:p w14:paraId="630F7B63" w14:textId="4083556B" w:rsidR="00A14A33" w:rsidRDefault="00000000">
            <w:pPr>
              <w:widowControl w:val="0"/>
              <w:spacing w:after="0" w:line="240" w:lineRule="auto"/>
              <w:jc w:val="both"/>
              <w:rPr>
                <w:rFonts w:ascii="Arial" w:eastAsia="Arial" w:hAnsi="Arial" w:cs="Arial"/>
                <w:sz w:val="24"/>
                <w:szCs w:val="24"/>
              </w:rPr>
            </w:pPr>
            <w:r>
              <w:rPr>
                <w:rFonts w:ascii="Arial" w:eastAsia="Arial" w:hAnsi="Arial" w:cs="Arial"/>
                <w:sz w:val="24"/>
                <w:szCs w:val="24"/>
              </w:rPr>
              <w:lastRenderedPageBreak/>
              <w:t>Document 10. Historique du taux d’inflation en pourcentage sur les 15 dernières années</w:t>
            </w:r>
          </w:p>
        </w:tc>
      </w:tr>
      <w:tr w:rsidR="00A14A33" w14:paraId="4E7E09B2" w14:textId="77777777" w:rsidTr="008B76E0">
        <w:trPr>
          <w:trHeight w:val="3648"/>
        </w:trPr>
        <w:tc>
          <w:tcPr>
            <w:tcW w:w="10763" w:type="dxa"/>
            <w:shd w:val="clear" w:color="auto" w:fill="auto"/>
            <w:tcMar>
              <w:top w:w="100" w:type="dxa"/>
              <w:left w:w="100" w:type="dxa"/>
              <w:bottom w:w="100" w:type="dxa"/>
              <w:right w:w="100" w:type="dxa"/>
            </w:tcMar>
          </w:tcPr>
          <w:p w14:paraId="0B4769B5" w14:textId="77777777" w:rsidR="00A14A33" w:rsidRDefault="00000000" w:rsidP="008B76E0">
            <w:pPr>
              <w:pBdr>
                <w:top w:val="nil"/>
                <w:left w:val="nil"/>
                <w:bottom w:val="nil"/>
                <w:right w:val="nil"/>
                <w:between w:val="nil"/>
              </w:pBdr>
              <w:shd w:val="clear" w:color="auto" w:fill="FFFFFF"/>
              <w:spacing w:after="0" w:line="264" w:lineRule="auto"/>
              <w:jc w:val="center"/>
              <w:rPr>
                <w:rFonts w:ascii="Arial" w:eastAsia="Arial" w:hAnsi="Arial" w:cs="Arial"/>
                <w:i/>
                <w:color w:val="000000"/>
                <w:sz w:val="18"/>
                <w:szCs w:val="18"/>
              </w:rPr>
            </w:pPr>
            <w:bookmarkStart w:id="4" w:name="_heading=h.mzm5afy6xvms" w:colFirst="0" w:colLast="0"/>
            <w:bookmarkEnd w:id="4"/>
            <w:r>
              <w:rPr>
                <w:rFonts w:ascii="Arial" w:eastAsia="Arial" w:hAnsi="Arial" w:cs="Arial"/>
                <w:i/>
                <w:noProof/>
                <w:color w:val="000000"/>
                <w:sz w:val="18"/>
                <w:szCs w:val="18"/>
              </w:rPr>
              <w:drawing>
                <wp:inline distT="114300" distB="114300" distL="114300" distR="114300" wp14:anchorId="01D10890" wp14:editId="3415C0CF">
                  <wp:extent cx="6048375" cy="2076450"/>
                  <wp:effectExtent l="0" t="0" r="9525"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t="11351"/>
                          <a:stretch>
                            <a:fillRect/>
                          </a:stretch>
                        </pic:blipFill>
                        <pic:spPr>
                          <a:xfrm>
                            <a:off x="0" y="0"/>
                            <a:ext cx="6048375" cy="2076450"/>
                          </a:xfrm>
                          <a:prstGeom prst="rect">
                            <a:avLst/>
                          </a:prstGeom>
                          <a:ln/>
                        </pic:spPr>
                      </pic:pic>
                    </a:graphicData>
                  </a:graphic>
                </wp:inline>
              </w:drawing>
            </w:r>
          </w:p>
          <w:p w14:paraId="4DAF05CB" w14:textId="3A9D52EE" w:rsidR="00A14A33" w:rsidRDefault="00000000" w:rsidP="008B76E0">
            <w:pPr>
              <w:pBdr>
                <w:top w:val="nil"/>
                <w:left w:val="nil"/>
                <w:bottom w:val="nil"/>
                <w:right w:val="nil"/>
                <w:between w:val="nil"/>
              </w:pBdr>
              <w:shd w:val="clear" w:color="auto" w:fill="FFFFFF"/>
              <w:spacing w:after="0" w:line="264" w:lineRule="auto"/>
              <w:jc w:val="right"/>
              <w:rPr>
                <w:rFonts w:ascii="Arial" w:eastAsia="Arial" w:hAnsi="Arial" w:cs="Arial"/>
                <w:i/>
                <w:color w:val="000000"/>
              </w:rPr>
            </w:pPr>
            <w:bookmarkStart w:id="5" w:name="_heading=h.rwdjevwepx2l" w:colFirst="0" w:colLast="0"/>
            <w:bookmarkEnd w:id="5"/>
            <w:proofErr w:type="gramStart"/>
            <w:r>
              <w:rPr>
                <w:rFonts w:ascii="Arial" w:eastAsia="Arial" w:hAnsi="Arial" w:cs="Arial"/>
                <w:i/>
                <w:color w:val="000000"/>
              </w:rPr>
              <w:t>Source:</w:t>
            </w:r>
            <w:proofErr w:type="gramEnd"/>
            <w:r>
              <w:rPr>
                <w:rFonts w:ascii="Arial" w:eastAsia="Arial" w:hAnsi="Arial" w:cs="Arial"/>
                <w:i/>
                <w:color w:val="000000"/>
              </w:rPr>
              <w:t xml:space="preserve"> Site de l’OCDE</w:t>
            </w:r>
          </w:p>
        </w:tc>
      </w:tr>
    </w:tbl>
    <w:p w14:paraId="47A127D5" w14:textId="77777777" w:rsidR="008B76E0" w:rsidRPr="008B76E0" w:rsidRDefault="008B76E0" w:rsidP="008B76E0">
      <w:pPr>
        <w:rPr>
          <w:rFonts w:ascii="Arial" w:eastAsia="Arial" w:hAnsi="Arial" w:cs="Arial"/>
          <w:b/>
          <w:bCs/>
          <w:color w:val="388600"/>
          <w:sz w:val="2"/>
          <w:szCs w:val="2"/>
        </w:rPr>
      </w:pPr>
    </w:p>
    <w:p w14:paraId="5446E068" w14:textId="07C5BAEF" w:rsidR="00A14A33" w:rsidRPr="008B76E0" w:rsidRDefault="00000000" w:rsidP="008B76E0">
      <w:pPr>
        <w:rPr>
          <w:rFonts w:ascii="Arial" w:eastAsia="Arial" w:hAnsi="Arial" w:cs="Arial"/>
          <w:b/>
          <w:bCs/>
          <w:color w:val="388600"/>
        </w:rPr>
      </w:pPr>
      <w:r w:rsidRPr="008B76E0">
        <w:rPr>
          <w:rFonts w:ascii="Arial" w:eastAsia="Arial" w:hAnsi="Arial" w:cs="Arial"/>
          <w:b/>
          <w:bCs/>
          <w:color w:val="388600"/>
        </w:rPr>
        <w:t>Point Culture économique</w:t>
      </w:r>
    </w:p>
    <w:p w14:paraId="3E1BE174" w14:textId="77777777" w:rsidR="00A14A33" w:rsidRPr="008B76E0" w:rsidRDefault="00000000" w:rsidP="008B76E0">
      <w:pPr>
        <w:rPr>
          <w:rFonts w:ascii="Arial" w:eastAsia="Arial" w:hAnsi="Arial" w:cs="Arial"/>
          <w:color w:val="388600"/>
        </w:rPr>
      </w:pPr>
      <w:r w:rsidRPr="008B76E0">
        <w:rPr>
          <w:rFonts w:ascii="Arial" w:eastAsia="Arial" w:hAnsi="Arial" w:cs="Arial"/>
          <w:color w:val="388600"/>
        </w:rPr>
        <w:t>Les prévisions d’inflation sont mesurées par l’indice des prix à la consommation. L’inflation mesure l’évolution générale des prix. Elle désigne la variation du coût d’un panier de biens et de services généralement achetés par les ménages. Les projections reposent sur une évaluation du stade auquel se trouve le cycle de l'activité économique dans chaque pays et à l'échelle mondiale, fondée sur une combinaison d’analyses provenant d'un certain nombre de modèles, ainsi que d'avis d'experts. Cet indicateur est exprimé en taux de croissance annuel.</w:t>
      </w:r>
    </w:p>
    <w:p w14:paraId="4EA4F9A7" w14:textId="77777777" w:rsidR="00A14A33" w:rsidRDefault="00A14A33">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i/>
          <w:shd w:val="clear" w:color="auto" w:fill="CCCCCC"/>
        </w:rPr>
      </w:pPr>
    </w:p>
    <w:p w14:paraId="2A0A65B1" w14:textId="77777777" w:rsidR="00A14A33" w:rsidRDefault="00000000" w:rsidP="008B76E0">
      <w:pPr>
        <w:spacing w:after="0" w:line="240" w:lineRule="auto"/>
        <w:jc w:val="both"/>
        <w:rPr>
          <w:rFonts w:ascii="Arial" w:eastAsia="Arial" w:hAnsi="Arial" w:cs="Arial"/>
          <w:b/>
          <w:sz w:val="24"/>
          <w:szCs w:val="24"/>
        </w:rPr>
      </w:pPr>
      <w:r>
        <w:rPr>
          <w:rFonts w:ascii="Arial" w:eastAsia="Arial" w:hAnsi="Arial" w:cs="Arial"/>
          <w:b/>
          <w:sz w:val="24"/>
          <w:szCs w:val="24"/>
        </w:rPr>
        <w:t>22. Estimer l’inflation moyenne sur les années 2024 - 2034 en vous appuyant sur le document 10. Vous pourrez également vous aider du site suivant :</w:t>
      </w:r>
    </w:p>
    <w:p w14:paraId="6BEC11F6" w14:textId="43A32673" w:rsidR="00A14A33" w:rsidRDefault="00000000" w:rsidP="008B76E0">
      <w:pPr>
        <w:spacing w:after="0" w:line="240" w:lineRule="auto"/>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427FB908" wp14:editId="68334BBD">
            <wp:extent cx="1847850" cy="1685925"/>
            <wp:effectExtent l="0" t="0" r="0" b="9525"/>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848168" cy="1686215"/>
                    </a:xfrm>
                    <a:prstGeom prst="rect">
                      <a:avLst/>
                    </a:prstGeom>
                    <a:ln/>
                  </pic:spPr>
                </pic:pic>
              </a:graphicData>
            </a:graphic>
          </wp:inline>
        </w:drawing>
      </w:r>
    </w:p>
    <w:p w14:paraId="0B88EB71" w14:textId="77777777" w:rsidR="00125D7B" w:rsidRDefault="00000000" w:rsidP="008B76E0">
      <w:pPr>
        <w:spacing w:after="0" w:line="240" w:lineRule="auto"/>
        <w:jc w:val="both"/>
        <w:rPr>
          <w:rFonts w:ascii="Arial" w:eastAsia="Arial" w:hAnsi="Arial" w:cs="Arial"/>
          <w:sz w:val="24"/>
          <w:szCs w:val="24"/>
        </w:rPr>
      </w:pPr>
      <w:r>
        <w:rPr>
          <w:rFonts w:ascii="Arial" w:eastAsia="Arial" w:hAnsi="Arial" w:cs="Arial"/>
          <w:sz w:val="24"/>
          <w:szCs w:val="24"/>
        </w:rPr>
        <w:t>Afin de préserver un équilibre financier, vous déterminez que votre masse salariale (estimée en 2024 à 1,05 milliard d’euros) ne doit pas dépasser 1,63 milliards d’euros dans les dix prochaines années à effectif constant. Nous considérerons que le turnover n’a pas d’impact sur la valeur de la masse salariale.</w:t>
      </w:r>
    </w:p>
    <w:p w14:paraId="5E6D73CE" w14:textId="7B6DEBA9" w:rsidR="00A14A33" w:rsidRDefault="00000000">
      <w:pPr>
        <w:spacing w:after="280" w:line="240" w:lineRule="auto"/>
        <w:jc w:val="both"/>
        <w:rPr>
          <w:rFonts w:ascii="Arial" w:eastAsia="Arial" w:hAnsi="Arial" w:cs="Arial"/>
          <w:sz w:val="24"/>
          <w:szCs w:val="24"/>
        </w:rPr>
      </w:pPr>
      <w:r>
        <w:rPr>
          <w:rFonts w:ascii="Arial" w:eastAsia="Arial" w:hAnsi="Arial" w:cs="Arial"/>
          <w:sz w:val="24"/>
          <w:szCs w:val="24"/>
        </w:rPr>
        <w:t xml:space="preserve">On note alors </w:t>
      </w:r>
      <m:oMath>
        <m:r>
          <w:rPr>
            <w:rFonts w:ascii="Arial" w:eastAsia="Arial" w:hAnsi="Arial" w:cs="Arial"/>
            <w:sz w:val="24"/>
            <w:szCs w:val="24"/>
          </w:rPr>
          <m:t>(</m:t>
        </m:r>
        <m:sSub>
          <m:sSubPr>
            <m:ctrlPr>
              <w:rPr>
                <w:rFonts w:ascii="Arial" w:eastAsia="Arial" w:hAnsi="Arial" w:cs="Arial"/>
                <w:sz w:val="24"/>
                <w:szCs w:val="24"/>
              </w:rPr>
            </m:ctrlPr>
          </m:sSubPr>
          <m:e>
            <m:r>
              <w:rPr>
                <w:rFonts w:ascii="Arial" w:eastAsia="Arial" w:hAnsi="Arial" w:cs="Arial"/>
                <w:sz w:val="24"/>
                <w:szCs w:val="24"/>
              </w:rPr>
              <m:t>u</m:t>
            </m:r>
          </m:e>
          <m:sub>
            <m:r>
              <w:rPr>
                <w:rFonts w:ascii="Arial" w:eastAsia="Arial" w:hAnsi="Arial" w:cs="Arial"/>
                <w:sz w:val="24"/>
                <w:szCs w:val="24"/>
              </w:rPr>
              <m:t>n</m:t>
            </m:r>
          </m:sub>
        </m:sSub>
        <m:r>
          <w:rPr>
            <w:rFonts w:ascii="Arial" w:eastAsia="Arial" w:hAnsi="Arial" w:cs="Arial"/>
            <w:sz w:val="24"/>
            <w:szCs w:val="24"/>
          </w:rPr>
          <m:t>)</m:t>
        </m:r>
      </m:oMath>
      <w:r>
        <w:rPr>
          <w:rFonts w:ascii="Arial" w:eastAsia="Arial" w:hAnsi="Arial" w:cs="Arial"/>
          <w:sz w:val="24"/>
          <w:szCs w:val="24"/>
        </w:rPr>
        <w:t xml:space="preserve"> la suite représentant la masse salariale à l’année </w:t>
      </w:r>
      <m:oMath>
        <m:r>
          <w:rPr>
            <w:rFonts w:ascii="Arial" w:eastAsia="Arial" w:hAnsi="Arial" w:cs="Arial"/>
            <w:sz w:val="24"/>
            <w:szCs w:val="24"/>
          </w:rPr>
          <m:t>2024+n</m:t>
        </m:r>
      </m:oMath>
      <w:r>
        <w:rPr>
          <w:rFonts w:ascii="Arial" w:eastAsia="Arial" w:hAnsi="Arial" w:cs="Arial"/>
          <w:sz w:val="24"/>
          <w:szCs w:val="24"/>
        </w:rPr>
        <w:t xml:space="preserve">. </w:t>
      </w:r>
    </w:p>
    <w:p w14:paraId="28009807"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 xml:space="preserve">23. Donner la nature de la suite </w:t>
      </w:r>
      <m:oMath>
        <m:r>
          <m:rPr>
            <m:sty m:val="bi"/>
          </m:rPr>
          <w:rPr>
            <w:rFonts w:ascii="Arial" w:eastAsia="Arial" w:hAnsi="Arial" w:cs="Arial"/>
            <w:sz w:val="24"/>
            <w:szCs w:val="24"/>
          </w:rPr>
          <m:t>(</m:t>
        </m:r>
        <m:sSub>
          <m:sSubPr>
            <m:ctrlPr>
              <w:rPr>
                <w:rFonts w:ascii="Arial" w:eastAsia="Arial" w:hAnsi="Arial" w:cs="Arial"/>
                <w:b/>
                <w:sz w:val="24"/>
                <w:szCs w:val="24"/>
              </w:rPr>
            </m:ctrlPr>
          </m:sSubPr>
          <m:e>
            <m:r>
              <m:rPr>
                <m:sty m:val="bi"/>
              </m:rPr>
              <w:rPr>
                <w:rFonts w:ascii="Arial" w:eastAsia="Arial" w:hAnsi="Arial" w:cs="Arial"/>
                <w:sz w:val="24"/>
                <w:szCs w:val="24"/>
              </w:rPr>
              <m:t>u</m:t>
            </m:r>
          </m:e>
          <m:sub>
            <m:r>
              <m:rPr>
                <m:sty m:val="bi"/>
              </m:rPr>
              <w:rPr>
                <w:rFonts w:ascii="Arial" w:eastAsia="Arial" w:hAnsi="Arial" w:cs="Arial"/>
                <w:sz w:val="24"/>
                <w:szCs w:val="24"/>
              </w:rPr>
              <m:t>n</m:t>
            </m:r>
          </m:sub>
        </m:sSub>
        <m:r>
          <m:rPr>
            <m:sty m:val="bi"/>
          </m:rPr>
          <w:rPr>
            <w:rFonts w:ascii="Arial" w:eastAsia="Arial" w:hAnsi="Arial" w:cs="Arial"/>
            <w:sz w:val="24"/>
            <w:szCs w:val="24"/>
          </w:rPr>
          <m:t>)</m:t>
        </m:r>
      </m:oMath>
      <w:r>
        <w:rPr>
          <w:rFonts w:ascii="Arial" w:eastAsia="Arial" w:hAnsi="Arial" w:cs="Arial"/>
          <w:b/>
          <w:sz w:val="24"/>
          <w:szCs w:val="24"/>
        </w:rPr>
        <w:t xml:space="preserve"> en justifiant et en précisant le premier terme ainsi que la raison. </w:t>
      </w:r>
    </w:p>
    <w:p w14:paraId="3EF2F32C" w14:textId="7CC67B0A" w:rsidR="00A14A33" w:rsidRPr="00125D7B" w:rsidRDefault="00000000">
      <w:pPr>
        <w:spacing w:after="280" w:line="240" w:lineRule="auto"/>
        <w:jc w:val="both"/>
        <w:rPr>
          <w:rFonts w:ascii="Arial" w:eastAsia="Arial" w:hAnsi="Arial" w:cs="Arial"/>
          <w:i/>
          <w:sz w:val="24"/>
          <w:szCs w:val="24"/>
        </w:rPr>
      </w:pPr>
      <w:r>
        <w:rPr>
          <w:rFonts w:ascii="Arial" w:eastAsia="Arial" w:hAnsi="Arial" w:cs="Arial"/>
          <w:b/>
          <w:sz w:val="24"/>
          <w:szCs w:val="24"/>
        </w:rPr>
        <w:t>24. Déterminer un moyen de vérifier si la politique salariale mise en place permettra de respecter l’augmentation limite fixée sur les dix prochaines années.</w:t>
      </w:r>
    </w:p>
    <w:p w14:paraId="6A6C90DC" w14:textId="77777777" w:rsidR="00A14A33" w:rsidRDefault="00000000">
      <w:pPr>
        <w:spacing w:after="280" w:line="240" w:lineRule="auto"/>
        <w:jc w:val="both"/>
        <w:rPr>
          <w:rFonts w:ascii="Arial" w:eastAsia="Arial" w:hAnsi="Arial" w:cs="Arial"/>
          <w:b/>
          <w:sz w:val="24"/>
          <w:szCs w:val="24"/>
        </w:rPr>
      </w:pPr>
      <w:r>
        <w:rPr>
          <w:rFonts w:ascii="Arial" w:eastAsia="Arial" w:hAnsi="Arial" w:cs="Arial"/>
          <w:b/>
          <w:sz w:val="24"/>
          <w:szCs w:val="24"/>
        </w:rPr>
        <w:t xml:space="preserve">25. Déterminer à </w:t>
      </w:r>
      <m:oMath>
        <m:r>
          <m:rPr>
            <m:sty m:val="bi"/>
          </m:rPr>
          <w:rPr>
            <w:rFonts w:ascii="Arial" w:eastAsia="Arial" w:hAnsi="Arial" w:cs="Arial"/>
            <w:sz w:val="24"/>
            <w:szCs w:val="24"/>
          </w:rPr>
          <m:t>1</m:t>
        </m:r>
        <m:sSup>
          <m:sSupPr>
            <m:ctrlPr>
              <w:rPr>
                <w:rFonts w:ascii="Arial" w:eastAsia="Arial" w:hAnsi="Arial" w:cs="Arial"/>
                <w:b/>
                <w:sz w:val="24"/>
                <w:szCs w:val="24"/>
              </w:rPr>
            </m:ctrlPr>
          </m:sSupPr>
          <m:e>
            <m:r>
              <m:rPr>
                <m:sty m:val="bi"/>
              </m:rPr>
              <w:rPr>
                <w:rFonts w:ascii="Arial" w:eastAsia="Arial" w:hAnsi="Arial" w:cs="Arial"/>
                <w:sz w:val="24"/>
                <w:szCs w:val="24"/>
              </w:rPr>
              <m:t>0</m:t>
            </m:r>
          </m:e>
          <m:sup>
            <m:r>
              <m:rPr>
                <m:sty m:val="bi"/>
              </m:rPr>
              <w:rPr>
                <w:rFonts w:ascii="Arial" w:eastAsia="Arial" w:hAnsi="Arial" w:cs="Arial"/>
                <w:sz w:val="24"/>
                <w:szCs w:val="24"/>
              </w:rPr>
              <m:t>-1</m:t>
            </m:r>
          </m:sup>
        </m:sSup>
        <m:r>
          <m:rPr>
            <m:sty m:val="bi"/>
          </m:rPr>
          <w:rPr>
            <w:rFonts w:ascii="Arial" w:eastAsia="Arial" w:hAnsi="Arial" w:cs="Arial"/>
            <w:sz w:val="24"/>
            <w:szCs w:val="24"/>
          </w:rPr>
          <m:t xml:space="preserve"> </m:t>
        </m:r>
      </m:oMath>
      <w:r>
        <w:rPr>
          <w:rFonts w:ascii="Arial" w:eastAsia="Arial" w:hAnsi="Arial" w:cs="Arial"/>
          <w:b/>
          <w:sz w:val="24"/>
          <w:szCs w:val="24"/>
        </w:rPr>
        <w:t xml:space="preserve">près la valeur limite d’augmentation de la masse salariale en pourcentage afin que l’objectif sur dix ans soit toujours atteint, au cas où l’inflation serait plus élevée que prévue. </w:t>
      </w:r>
    </w:p>
    <w:p w14:paraId="6DD50256" w14:textId="42F6AF3A" w:rsidR="00A14A33" w:rsidRPr="00125D7B" w:rsidRDefault="00000000">
      <w:pPr>
        <w:spacing w:after="280" w:line="240" w:lineRule="auto"/>
        <w:jc w:val="both"/>
        <w:rPr>
          <w:rFonts w:ascii="Arial" w:eastAsia="Arial" w:hAnsi="Arial" w:cs="Arial"/>
          <w:i/>
          <w:sz w:val="24"/>
          <w:szCs w:val="24"/>
        </w:rPr>
      </w:pPr>
      <w:r>
        <w:rPr>
          <w:rFonts w:ascii="Arial" w:eastAsia="Arial" w:hAnsi="Arial" w:cs="Arial"/>
          <w:b/>
          <w:sz w:val="24"/>
          <w:szCs w:val="24"/>
        </w:rPr>
        <w:t>26. Conclure sur la pertinence d’une telle politique salariale.</w:t>
      </w:r>
    </w:p>
    <w:sectPr w:rsidR="00A14A33" w:rsidRPr="00125D7B" w:rsidSect="00CC0473">
      <w:footerReference w:type="default" r:id="rId21"/>
      <w:pgSz w:w="11906" w:h="16838"/>
      <w:pgMar w:top="709" w:right="567" w:bottom="851" w:left="567" w:header="397"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61C18" w14:textId="77777777" w:rsidR="00FA6BAD" w:rsidRDefault="00FA6BAD" w:rsidP="00772E4B">
      <w:pPr>
        <w:spacing w:after="0" w:line="240" w:lineRule="auto"/>
      </w:pPr>
      <w:r>
        <w:separator/>
      </w:r>
    </w:p>
  </w:endnote>
  <w:endnote w:type="continuationSeparator" w:id="0">
    <w:p w14:paraId="0E10D632" w14:textId="77777777" w:rsidR="00FA6BAD" w:rsidRDefault="00FA6BAD" w:rsidP="00772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22E3D8E3-E2B1-4AA2-9B38-91BB7C5E124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79B2995-D249-41FA-8EC9-FDB0D3DABD52}"/>
    <w:embedBold r:id="rId3" w:fontKey="{7EFB70AC-B402-4893-8A47-7DAB1B5BD3FA}"/>
    <w:embedItalic r:id="rId4" w:fontKey="{81DCB5F1-8498-4798-A5AA-D5B828C810EC}"/>
    <w:embedBoldItalic r:id="rId5" w:fontKey="{8E103812-5EB1-492B-A939-061C51EF0635}"/>
  </w:font>
  <w:font w:name="Georgia">
    <w:panose1 w:val="02040502050405020303"/>
    <w:charset w:val="00"/>
    <w:family w:val="roman"/>
    <w:pitch w:val="variable"/>
    <w:sig w:usb0="00000287" w:usb1="00000000" w:usb2="00000000" w:usb3="00000000" w:csb0="0000009F" w:csb1="00000000"/>
    <w:embedRegular r:id="rId6" w:fontKey="{DEABBA3A-2584-4CA1-9D81-7253EBA719F0}"/>
    <w:embedItalic r:id="rId7" w:fontKey="{5802701A-98A8-4FAC-AAE6-65C8EF93CEB1}"/>
  </w:font>
  <w:font w:name="Calibri Light">
    <w:panose1 w:val="020F0302020204030204"/>
    <w:charset w:val="00"/>
    <w:family w:val="swiss"/>
    <w:pitch w:val="variable"/>
    <w:sig w:usb0="E4002EFF" w:usb1="C000247B" w:usb2="00000009" w:usb3="00000000" w:csb0="000001FF" w:csb1="00000000"/>
    <w:embedRegular r:id="rId8" w:fontKey="{EC3DBDA8-9A8D-4E8A-902F-358375ABE1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D805B" w14:textId="5658E99F" w:rsidR="00772E4B" w:rsidRDefault="00772E4B">
    <w:pPr>
      <w:pStyle w:val="Pieddepage"/>
    </w:pPr>
    <w:r>
      <w:t xml:space="preserve">CRCOM </w:t>
    </w:r>
    <w:r w:rsidR="00CB29B4">
      <w:t>–</w:t>
    </w:r>
    <w:r>
      <w:t xml:space="preserve"> </w:t>
    </w:r>
    <w:r w:rsidR="00CB29B4">
      <w:t xml:space="preserve">STMG – SDGN et </w:t>
    </w:r>
    <w:r w:rsidR="00CC0473">
      <w:t>mathématiques</w:t>
    </w:r>
    <w:r w:rsidR="00634369">
      <w:t> : le cas UBISOFT</w:t>
    </w:r>
    <w:r w:rsidR="00CB29B4">
      <w:t xml:space="preserve"> - Jean-Luc </w:t>
    </w:r>
    <w:r w:rsidR="00CB29B4" w:rsidRPr="00CB29B4">
      <w:t>Suze</w:t>
    </w:r>
    <w:r w:rsidR="00CB29B4">
      <w:t xml:space="preserve"> et Renaud </w:t>
    </w:r>
    <w:proofErr w:type="spellStart"/>
    <w:r w:rsidR="00CB29B4" w:rsidRPr="00CB29B4">
      <w:t>Federspil</w:t>
    </w:r>
    <w:proofErr w:type="spellEnd"/>
    <w:r w:rsidR="00CB29B4">
      <w:t xml:space="preserve"> – Dossier élève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84DFE" w14:textId="77777777" w:rsidR="00FA6BAD" w:rsidRDefault="00FA6BAD" w:rsidP="00772E4B">
      <w:pPr>
        <w:spacing w:after="0" w:line="240" w:lineRule="auto"/>
      </w:pPr>
      <w:r>
        <w:separator/>
      </w:r>
    </w:p>
  </w:footnote>
  <w:footnote w:type="continuationSeparator" w:id="0">
    <w:p w14:paraId="6F8BC462" w14:textId="77777777" w:rsidR="00FA6BAD" w:rsidRDefault="00FA6BAD" w:rsidP="00772E4B">
      <w:pPr>
        <w:spacing w:after="0" w:line="240" w:lineRule="auto"/>
      </w:pPr>
      <w:r>
        <w:continuationSeparator/>
      </w:r>
    </w:p>
  </w:footnote>
  <w:footnote w:id="1">
    <w:p w14:paraId="72CFB988" w14:textId="549ECBD9" w:rsidR="00CC0473" w:rsidRDefault="00CC0473">
      <w:pPr>
        <w:pStyle w:val="Notedebasdepage"/>
      </w:pPr>
      <w:r>
        <w:rPr>
          <w:rStyle w:val="Appelnotedebasdep"/>
        </w:rPr>
        <w:footnoteRef/>
      </w:r>
      <w:r>
        <w:t xml:space="preserve"> </w:t>
      </w:r>
      <w:proofErr w:type="spellStart"/>
      <w:r w:rsidRPr="00CC0473">
        <w:rPr>
          <w:b/>
          <w:bCs/>
        </w:rPr>
        <w:t>Tencent</w:t>
      </w:r>
      <w:proofErr w:type="spellEnd"/>
      <w:r w:rsidRPr="00CC0473">
        <w:t xml:space="preserve">, </w:t>
      </w:r>
      <w:r w:rsidRPr="00CC0473">
        <w:rPr>
          <w:i/>
          <w:iCs/>
          <w:sz w:val="18"/>
          <w:szCs w:val="18"/>
        </w:rPr>
        <w:t xml:space="preserve">fondée en </w:t>
      </w:r>
      <w:r w:rsidRPr="00CC0473">
        <w:rPr>
          <w:b/>
          <w:bCs/>
          <w:i/>
          <w:iCs/>
          <w:sz w:val="18"/>
          <w:szCs w:val="18"/>
        </w:rPr>
        <w:t>1998</w:t>
      </w:r>
      <w:r w:rsidRPr="00CC0473">
        <w:rPr>
          <w:i/>
          <w:iCs/>
          <w:sz w:val="18"/>
          <w:szCs w:val="18"/>
        </w:rPr>
        <w:t xml:space="preserve"> à Shenzhen, est une entreprise technologique qui connecte plus d'un </w:t>
      </w:r>
      <w:r w:rsidRPr="00CC0473">
        <w:rPr>
          <w:b/>
          <w:bCs/>
          <w:i/>
          <w:iCs/>
          <w:sz w:val="18"/>
          <w:szCs w:val="18"/>
        </w:rPr>
        <w:t>milliard de personnes</w:t>
      </w:r>
      <w:r w:rsidRPr="00CC0473">
        <w:rPr>
          <w:i/>
          <w:iCs/>
          <w:sz w:val="18"/>
          <w:szCs w:val="18"/>
        </w:rPr>
        <w:t xml:space="preserve"> à travers le monde grâce à ses services de communication, de jeux vidéo et de contenu numérique</w:t>
      </w:r>
      <w:r w:rsidRPr="00CC0473">
        <w:rPr>
          <w:i/>
          <w:iCs/>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939AF"/>
    <w:multiLevelType w:val="multilevel"/>
    <w:tmpl w:val="595A42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AE3C3B"/>
    <w:multiLevelType w:val="multilevel"/>
    <w:tmpl w:val="E946CBC0"/>
    <w:lvl w:ilvl="0">
      <w:start w:val="1"/>
      <w:numFmt w:val="bullet"/>
      <w:lvlText w:val="●"/>
      <w:lvlJc w:val="left"/>
      <w:pPr>
        <w:ind w:left="720" w:hanging="360"/>
      </w:pPr>
      <w:rPr>
        <w:rFonts w:ascii="Arial" w:eastAsia="Arial" w:hAnsi="Arial" w:cs="Arial"/>
        <w:color w:val="77777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5B123D"/>
    <w:multiLevelType w:val="multilevel"/>
    <w:tmpl w:val="D0E6A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814B6A"/>
    <w:multiLevelType w:val="multilevel"/>
    <w:tmpl w:val="CBFAE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193E16"/>
    <w:multiLevelType w:val="multilevel"/>
    <w:tmpl w:val="26249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1A5373"/>
    <w:multiLevelType w:val="multilevel"/>
    <w:tmpl w:val="7020D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E55C45"/>
    <w:multiLevelType w:val="multilevel"/>
    <w:tmpl w:val="396C6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07089F"/>
    <w:multiLevelType w:val="multilevel"/>
    <w:tmpl w:val="FBE64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9478B2"/>
    <w:multiLevelType w:val="multilevel"/>
    <w:tmpl w:val="3FDEB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E503D9"/>
    <w:multiLevelType w:val="multilevel"/>
    <w:tmpl w:val="96409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860DA2"/>
    <w:multiLevelType w:val="multilevel"/>
    <w:tmpl w:val="8A206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2109C8"/>
    <w:multiLevelType w:val="multilevel"/>
    <w:tmpl w:val="CA26C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046E98"/>
    <w:multiLevelType w:val="multilevel"/>
    <w:tmpl w:val="355671A6"/>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580E87"/>
    <w:multiLevelType w:val="multilevel"/>
    <w:tmpl w:val="2BE2D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842134"/>
    <w:multiLevelType w:val="multilevel"/>
    <w:tmpl w:val="F0BAC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EC2163"/>
    <w:multiLevelType w:val="multilevel"/>
    <w:tmpl w:val="F08E2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234B1B"/>
    <w:multiLevelType w:val="multilevel"/>
    <w:tmpl w:val="291EE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D05BA6"/>
    <w:multiLevelType w:val="multilevel"/>
    <w:tmpl w:val="576E9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4C6507"/>
    <w:multiLevelType w:val="multilevel"/>
    <w:tmpl w:val="083C5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9DE26C0"/>
    <w:multiLevelType w:val="multilevel"/>
    <w:tmpl w:val="B06C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D65CBE"/>
    <w:multiLevelType w:val="multilevel"/>
    <w:tmpl w:val="3C68A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623C9E"/>
    <w:multiLevelType w:val="multilevel"/>
    <w:tmpl w:val="67CEB7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EA70E2B"/>
    <w:multiLevelType w:val="multilevel"/>
    <w:tmpl w:val="79842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7271208">
    <w:abstractNumId w:val="22"/>
  </w:num>
  <w:num w:numId="2" w16cid:durableId="445731974">
    <w:abstractNumId w:val="2"/>
  </w:num>
  <w:num w:numId="3" w16cid:durableId="548762673">
    <w:abstractNumId w:val="9"/>
  </w:num>
  <w:num w:numId="4" w16cid:durableId="650720348">
    <w:abstractNumId w:val="16"/>
  </w:num>
  <w:num w:numId="5" w16cid:durableId="1645313814">
    <w:abstractNumId w:val="10"/>
  </w:num>
  <w:num w:numId="6" w16cid:durableId="1398161241">
    <w:abstractNumId w:val="1"/>
  </w:num>
  <w:num w:numId="7" w16cid:durableId="1849755564">
    <w:abstractNumId w:val="11"/>
  </w:num>
  <w:num w:numId="8" w16cid:durableId="423385598">
    <w:abstractNumId w:val="7"/>
  </w:num>
  <w:num w:numId="9" w16cid:durableId="1610746186">
    <w:abstractNumId w:val="0"/>
  </w:num>
  <w:num w:numId="10" w16cid:durableId="1204177711">
    <w:abstractNumId w:val="12"/>
  </w:num>
  <w:num w:numId="11" w16cid:durableId="743531520">
    <w:abstractNumId w:val="18"/>
  </w:num>
  <w:num w:numId="12" w16cid:durableId="106119660">
    <w:abstractNumId w:val="13"/>
  </w:num>
  <w:num w:numId="13" w16cid:durableId="1486971782">
    <w:abstractNumId w:val="6"/>
  </w:num>
  <w:num w:numId="14" w16cid:durableId="1230967299">
    <w:abstractNumId w:val="19"/>
  </w:num>
  <w:num w:numId="15" w16cid:durableId="597175258">
    <w:abstractNumId w:val="4"/>
  </w:num>
  <w:num w:numId="16" w16cid:durableId="2111468945">
    <w:abstractNumId w:val="8"/>
  </w:num>
  <w:num w:numId="17" w16cid:durableId="1160006545">
    <w:abstractNumId w:val="21"/>
  </w:num>
  <w:num w:numId="18" w16cid:durableId="1768890479">
    <w:abstractNumId w:val="3"/>
  </w:num>
  <w:num w:numId="19" w16cid:durableId="1187450993">
    <w:abstractNumId w:val="20"/>
  </w:num>
  <w:num w:numId="20" w16cid:durableId="64182950">
    <w:abstractNumId w:val="5"/>
  </w:num>
  <w:num w:numId="21" w16cid:durableId="893976946">
    <w:abstractNumId w:val="17"/>
  </w:num>
  <w:num w:numId="22" w16cid:durableId="2019383891">
    <w:abstractNumId w:val="14"/>
  </w:num>
  <w:num w:numId="23" w16cid:durableId="21034532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A33"/>
    <w:rsid w:val="000F0306"/>
    <w:rsid w:val="00125D7B"/>
    <w:rsid w:val="00286999"/>
    <w:rsid w:val="002E237C"/>
    <w:rsid w:val="002F3ADE"/>
    <w:rsid w:val="0047064C"/>
    <w:rsid w:val="00634369"/>
    <w:rsid w:val="00772E4B"/>
    <w:rsid w:val="007F78B4"/>
    <w:rsid w:val="00883D11"/>
    <w:rsid w:val="008B76E0"/>
    <w:rsid w:val="008D63DF"/>
    <w:rsid w:val="00937537"/>
    <w:rsid w:val="009F6883"/>
    <w:rsid w:val="00A14A33"/>
    <w:rsid w:val="00B9260B"/>
    <w:rsid w:val="00BE7C60"/>
    <w:rsid w:val="00C0791C"/>
    <w:rsid w:val="00CB29B4"/>
    <w:rsid w:val="00CC0473"/>
    <w:rsid w:val="00FA6B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8F911"/>
  <w15:docId w15:val="{6B90CC5C-FDCD-4386-BAB5-CE8780A20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link w:val="Titre3Car"/>
    <w:uiPriority w:val="9"/>
    <w:semiHidden/>
    <w:unhideWhenUsed/>
    <w:qFormat/>
    <w:rsid w:val="00161A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link w:val="Titre5Car"/>
    <w:uiPriority w:val="9"/>
    <w:semiHidden/>
    <w:unhideWhenUsed/>
    <w:qFormat/>
    <w:rsid w:val="00161A0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itre6">
    <w:name w:val="heading 6"/>
    <w:basedOn w:val="Normal"/>
    <w:link w:val="Titre6Car"/>
    <w:uiPriority w:val="9"/>
    <w:semiHidden/>
    <w:unhideWhenUsed/>
    <w:qFormat/>
    <w:rsid w:val="00161A0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itre3Car">
    <w:name w:val="Titre 3 Car"/>
    <w:basedOn w:val="Policepardfaut"/>
    <w:link w:val="Titre3"/>
    <w:uiPriority w:val="9"/>
    <w:rsid w:val="00161A03"/>
    <w:rPr>
      <w:rFonts w:ascii="Times New Roman" w:eastAsia="Times New Roman" w:hAnsi="Times New Roman" w:cs="Times New Roman"/>
      <w:b/>
      <w:bCs/>
      <w:sz w:val="27"/>
      <w:szCs w:val="27"/>
      <w:lang w:eastAsia="fr-FR"/>
    </w:rPr>
  </w:style>
  <w:style w:type="character" w:customStyle="1" w:styleId="Titre5Car">
    <w:name w:val="Titre 5 Car"/>
    <w:basedOn w:val="Policepardfaut"/>
    <w:link w:val="Titre5"/>
    <w:uiPriority w:val="9"/>
    <w:rsid w:val="00161A03"/>
    <w:rPr>
      <w:rFonts w:ascii="Times New Roman" w:eastAsia="Times New Roman" w:hAnsi="Times New Roman" w:cs="Times New Roman"/>
      <w:b/>
      <w:bCs/>
      <w:sz w:val="20"/>
      <w:szCs w:val="20"/>
      <w:lang w:eastAsia="fr-FR"/>
    </w:rPr>
  </w:style>
  <w:style w:type="character" w:customStyle="1" w:styleId="Titre6Car">
    <w:name w:val="Titre 6 Car"/>
    <w:basedOn w:val="Policepardfaut"/>
    <w:link w:val="Titre6"/>
    <w:uiPriority w:val="9"/>
    <w:rsid w:val="00161A03"/>
    <w:rPr>
      <w:rFonts w:ascii="Times New Roman" w:eastAsia="Times New Roman" w:hAnsi="Times New Roman" w:cs="Times New Roman"/>
      <w:b/>
      <w:bCs/>
      <w:sz w:val="15"/>
      <w:szCs w:val="15"/>
      <w:lang w:eastAsia="fr-FR"/>
    </w:rPr>
  </w:style>
  <w:style w:type="paragraph" w:styleId="NormalWeb">
    <w:name w:val="Normal (Web)"/>
    <w:basedOn w:val="Normal"/>
    <w:uiPriority w:val="99"/>
    <w:semiHidden/>
    <w:unhideWhenUsed/>
    <w:rsid w:val="00161A03"/>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161A03"/>
    <w:rPr>
      <w:b/>
      <w:bCs/>
    </w:rPr>
  </w:style>
  <w:style w:type="character" w:customStyle="1" w:styleId="overflow-hidden">
    <w:name w:val="overflow-hidden"/>
    <w:basedOn w:val="Policepardfaut"/>
    <w:rsid w:val="00161A03"/>
  </w:style>
  <w:style w:type="character" w:styleId="Accentuation">
    <w:name w:val="Emphasis"/>
    <w:basedOn w:val="Policepardfaut"/>
    <w:uiPriority w:val="20"/>
    <w:qFormat/>
    <w:rsid w:val="00161A03"/>
    <w:rPr>
      <w:i/>
      <w:iCs/>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772E4B"/>
    <w:pPr>
      <w:tabs>
        <w:tab w:val="center" w:pos="4536"/>
        <w:tab w:val="right" w:pos="9072"/>
      </w:tabs>
      <w:spacing w:after="0" w:line="240" w:lineRule="auto"/>
    </w:pPr>
  </w:style>
  <w:style w:type="character" w:customStyle="1" w:styleId="En-tteCar">
    <w:name w:val="En-tête Car"/>
    <w:basedOn w:val="Policepardfaut"/>
    <w:link w:val="En-tte"/>
    <w:uiPriority w:val="99"/>
    <w:rsid w:val="00772E4B"/>
  </w:style>
  <w:style w:type="paragraph" w:styleId="Pieddepage">
    <w:name w:val="footer"/>
    <w:basedOn w:val="Normal"/>
    <w:link w:val="PieddepageCar"/>
    <w:uiPriority w:val="99"/>
    <w:unhideWhenUsed/>
    <w:rsid w:val="00772E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2E4B"/>
  </w:style>
  <w:style w:type="paragraph" w:styleId="Notedebasdepage">
    <w:name w:val="footnote text"/>
    <w:basedOn w:val="Normal"/>
    <w:link w:val="NotedebasdepageCar"/>
    <w:uiPriority w:val="99"/>
    <w:semiHidden/>
    <w:unhideWhenUsed/>
    <w:rsid w:val="00CC047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C0473"/>
    <w:rPr>
      <w:sz w:val="20"/>
      <w:szCs w:val="20"/>
    </w:rPr>
  </w:style>
  <w:style w:type="character" w:styleId="Appelnotedebasdep">
    <w:name w:val="footnote reference"/>
    <w:basedOn w:val="Policepardfaut"/>
    <w:uiPriority w:val="99"/>
    <w:semiHidden/>
    <w:unhideWhenUsed/>
    <w:rsid w:val="00CC0473"/>
    <w:rPr>
      <w:vertAlign w:val="superscript"/>
    </w:rPr>
  </w:style>
  <w:style w:type="character" w:styleId="Lienhypertexte">
    <w:name w:val="Hyperlink"/>
    <w:basedOn w:val="Policepardfaut"/>
    <w:uiPriority w:val="99"/>
    <w:unhideWhenUsed/>
    <w:rsid w:val="00883D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actufinance.fr/bourse/indices/" TargetMode="External"/><Relationship Id="rId17" Type="http://schemas.openxmlformats.org/officeDocument/2006/relationships/hyperlink" Target="https://www.gamekult.com/jeux/assassin-s-creed-codename-red-3050886151.html" TargetMode="External"/><Relationship Id="rId2" Type="http://schemas.openxmlformats.org/officeDocument/2006/relationships/customXml" Target="../customXml/item2.xml"/><Relationship Id="rId16" Type="http://schemas.openxmlformats.org/officeDocument/2006/relationships/hyperlink" Target="https://www.gamekult.com/jeux/star-wars-outlaws-3050886905.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oursier.com/indices/composition/cac-40-FR0003500008,FR.html" TargetMode="External"/><Relationship Id="rId5" Type="http://schemas.openxmlformats.org/officeDocument/2006/relationships/settings" Target="settings.xml"/><Relationship Id="rId15" Type="http://schemas.openxmlformats.org/officeDocument/2006/relationships/hyperlink" Target="https://www.ubisoft.com/fr-fr/"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www.youtube.com/watch?v=-jGL8wNnU1k"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rPdUSqEFte9E+j9Zi3KikmHu7w==">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B01BE3-77FD-4146-AAD4-CDDAE652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2128</TotalTime>
  <Pages>10</Pages>
  <Words>3506</Words>
  <Characters>19289</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suze</dc:creator>
  <cp:lastModifiedBy>amaya.geronimi</cp:lastModifiedBy>
  <cp:revision>8</cp:revision>
  <dcterms:created xsi:type="dcterms:W3CDTF">2025-03-02T18:37:00Z</dcterms:created>
  <dcterms:modified xsi:type="dcterms:W3CDTF">2025-03-02T19:31:00Z</dcterms:modified>
</cp:coreProperties>
</file>