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43F" w:rsidRPr="00170568" w:rsidRDefault="008D243F" w:rsidP="008D243F">
      <w:pPr>
        <w:pStyle w:val="En-tte"/>
        <w:jc w:val="center"/>
        <w:rPr>
          <w:rFonts w:asciiTheme="minorHAnsi" w:hAnsiTheme="minorHAnsi" w:cstheme="minorHAnsi"/>
          <w:b/>
          <w:caps/>
          <w:sz w:val="28"/>
          <w:szCs w:val="28"/>
        </w:rPr>
      </w:pPr>
      <w:r w:rsidRPr="000E0832">
        <w:rPr>
          <w:rFonts w:asciiTheme="minorHAnsi" w:hAnsiTheme="minorHAnsi" w:cstheme="minorHAnsi"/>
          <w:b/>
          <w:caps/>
          <w:sz w:val="28"/>
          <w:szCs w:val="28"/>
        </w:rPr>
        <w:t>generik - dossier étudiant – ressources documentaires</w:t>
      </w:r>
    </w:p>
    <w:p w:rsidR="008D243F" w:rsidRPr="00170568" w:rsidRDefault="008D243F" w:rsidP="008D243F">
      <w:pPr>
        <w:pStyle w:val="En-tte"/>
        <w:jc w:val="center"/>
        <w:rPr>
          <w:rFonts w:asciiTheme="minorHAnsi" w:hAnsiTheme="minorHAnsi" w:cstheme="minorHAnsi"/>
          <w:b/>
          <w:caps/>
          <w:sz w:val="28"/>
          <w:szCs w:val="28"/>
        </w:rPr>
      </w:pPr>
    </w:p>
    <w:p w:rsidR="008D243F" w:rsidRPr="00170568" w:rsidRDefault="008D243F" w:rsidP="008D243F">
      <w:pPr>
        <w:pStyle w:val="En-tte"/>
        <w:jc w:val="center"/>
        <w:rPr>
          <w:rFonts w:asciiTheme="minorHAnsi" w:hAnsiTheme="minorHAnsi" w:cstheme="minorHAnsi"/>
          <w:b/>
          <w:sz w:val="28"/>
          <w:szCs w:val="28"/>
        </w:rPr>
      </w:pPr>
      <w:r w:rsidRPr="00170568">
        <w:rPr>
          <w:rFonts w:asciiTheme="minorHAnsi" w:hAnsiTheme="minorHAnsi" w:cstheme="minorHAnsi"/>
          <w:b/>
          <w:sz w:val="28"/>
          <w:szCs w:val="28"/>
        </w:rPr>
        <w:t>Épisode 4 - Relance des clients pour factures impayées</w:t>
      </w:r>
    </w:p>
    <w:p w:rsidR="00D978DA" w:rsidRPr="00170568" w:rsidRDefault="008D243F" w:rsidP="001C5934">
      <w:pPr>
        <w:spacing w:after="0" w:line="240" w:lineRule="auto"/>
        <w:outlineLvl w:val="0"/>
        <w:rPr>
          <w:rFonts w:eastAsia="Times New Roman" w:cstheme="minorHAnsi"/>
          <w:b/>
          <w:bCs/>
          <w:kern w:val="36"/>
          <w:sz w:val="28"/>
          <w:lang w:eastAsia="fr-FR"/>
        </w:rPr>
      </w:pPr>
      <w:r w:rsidRPr="00170568">
        <w:rPr>
          <w:rFonts w:eastAsia="Times New Roman" w:cstheme="minorHAnsi"/>
          <w:b/>
          <w:bCs/>
          <w:kern w:val="36"/>
          <w:sz w:val="28"/>
          <w:lang w:eastAsia="fr-FR"/>
        </w:rPr>
        <w:t xml:space="preserve">Redo 4. </w:t>
      </w:r>
      <w:r w:rsidR="00D978DA" w:rsidRPr="00170568">
        <w:rPr>
          <w:rFonts w:eastAsia="Times New Roman" w:cstheme="minorHAnsi"/>
          <w:b/>
          <w:bCs/>
          <w:kern w:val="36"/>
          <w:sz w:val="28"/>
          <w:lang w:eastAsia="fr-FR"/>
        </w:rPr>
        <w:t>Comment utiliser la lettre de change relevé (LCR)?</w:t>
      </w:r>
    </w:p>
    <w:p w:rsidR="008D243F" w:rsidRPr="00170568" w:rsidRDefault="008D243F" w:rsidP="001C5934">
      <w:pPr>
        <w:spacing w:after="0" w:line="240" w:lineRule="auto"/>
        <w:outlineLvl w:val="0"/>
        <w:rPr>
          <w:rFonts w:eastAsia="Times New Roman" w:cstheme="minorHAnsi"/>
          <w:b/>
          <w:bCs/>
          <w:kern w:val="36"/>
          <w:sz w:val="28"/>
          <w:lang w:eastAsia="fr-FR"/>
        </w:rPr>
      </w:pPr>
    </w:p>
    <w:p w:rsidR="00D978DA" w:rsidRPr="00170568" w:rsidRDefault="00D978DA" w:rsidP="00D978DA">
      <w:pPr>
        <w:spacing w:after="0" w:line="240" w:lineRule="auto"/>
        <w:rPr>
          <w:rFonts w:eastAsia="Times New Roman" w:cstheme="minorHAnsi"/>
          <w:lang w:eastAsia="fr-FR"/>
        </w:rPr>
      </w:pPr>
      <w:r w:rsidRPr="00170568">
        <w:rPr>
          <w:rFonts w:eastAsia="Times New Roman" w:cstheme="minorHAnsi"/>
          <w:lang w:eastAsia="fr-FR"/>
        </w:rPr>
        <w:t>Les lettres de change ont été créées au XVIIème siècle par les Templiers afin d’éviter les transports de fonds. Aujourd’hui les lettres de change sont plus communément appelées lettre de change relevé ou LCR du fait de la mise en place de procédés dématérialisés.</w:t>
      </w:r>
    </w:p>
    <w:p w:rsidR="00D978DA" w:rsidRPr="00170568" w:rsidRDefault="00D978DA" w:rsidP="00D978DA">
      <w:pPr>
        <w:spacing w:after="0" w:line="240" w:lineRule="auto"/>
        <w:rPr>
          <w:rFonts w:eastAsia="Times New Roman" w:cstheme="minorHAnsi"/>
          <w:lang w:eastAsia="fr-FR"/>
        </w:rPr>
      </w:pPr>
    </w:p>
    <w:p w:rsidR="00D978DA" w:rsidRPr="001C5934" w:rsidRDefault="00D978DA" w:rsidP="00D978DA">
      <w:pPr>
        <w:spacing w:after="0" w:line="240" w:lineRule="auto"/>
        <w:outlineLvl w:val="1"/>
        <w:rPr>
          <w:rFonts w:eastAsia="Times New Roman" w:cstheme="minorHAnsi"/>
          <w:b/>
          <w:bCs/>
          <w:sz w:val="24"/>
          <w:szCs w:val="24"/>
          <w:lang w:eastAsia="fr-FR"/>
        </w:rPr>
      </w:pPr>
      <w:r w:rsidRPr="001C5934">
        <w:rPr>
          <w:rFonts w:eastAsia="Times New Roman" w:cstheme="minorHAnsi"/>
          <w:b/>
          <w:bCs/>
          <w:sz w:val="24"/>
          <w:szCs w:val="24"/>
          <w:lang w:eastAsia="fr-FR"/>
        </w:rPr>
        <w:t xml:space="preserve">Fonctionnement d’une Lettre de Change Relevé ou LCR  </w:t>
      </w:r>
    </w:p>
    <w:p w:rsidR="00D978DA" w:rsidRPr="00170568" w:rsidRDefault="00D978DA" w:rsidP="00D978DA">
      <w:pPr>
        <w:spacing w:after="0" w:line="240" w:lineRule="auto"/>
        <w:jc w:val="both"/>
        <w:rPr>
          <w:rFonts w:eastAsia="Times New Roman" w:cstheme="minorHAnsi"/>
          <w:lang w:eastAsia="fr-FR"/>
        </w:rPr>
      </w:pPr>
      <w:r w:rsidRPr="00170568">
        <w:rPr>
          <w:rFonts w:eastAsia="Times New Roman" w:cstheme="minorHAnsi"/>
          <w:bCs/>
          <w:lang w:eastAsia="fr-FR"/>
        </w:rPr>
        <w:t>Une lettre de change relevé (LCR)</w:t>
      </w:r>
      <w:r w:rsidRPr="00170568">
        <w:rPr>
          <w:rFonts w:eastAsia="Times New Roman" w:cstheme="minorHAnsi"/>
          <w:lang w:eastAsia="fr-FR"/>
        </w:rPr>
        <w:t xml:space="preserve"> est un </w:t>
      </w:r>
      <w:r w:rsidRPr="00170568">
        <w:rPr>
          <w:rFonts w:eastAsia="Times New Roman" w:cstheme="minorHAnsi"/>
          <w:bCs/>
          <w:lang w:eastAsia="fr-FR"/>
        </w:rPr>
        <w:t>effet de commerce</w:t>
      </w:r>
      <w:r w:rsidRPr="00170568">
        <w:rPr>
          <w:rFonts w:eastAsia="Times New Roman" w:cstheme="minorHAnsi"/>
          <w:lang w:eastAsia="fr-FR"/>
        </w:rPr>
        <w:t xml:space="preserve"> (papier ou dématérialisé) qui lie un client à son fournisseur. Elle est généralement émise en même temps que la </w:t>
      </w:r>
      <w:r w:rsidRPr="00170568">
        <w:rPr>
          <w:rFonts w:eastAsia="Times New Roman" w:cstheme="minorHAnsi"/>
          <w:bCs/>
          <w:lang w:eastAsia="fr-FR"/>
        </w:rPr>
        <w:t>facture</w:t>
      </w:r>
      <w:r w:rsidRPr="00170568">
        <w:rPr>
          <w:rFonts w:eastAsia="Times New Roman" w:cstheme="minorHAnsi"/>
          <w:lang w:eastAsia="fr-FR"/>
        </w:rPr>
        <w:t>.</w:t>
      </w:r>
    </w:p>
    <w:p w:rsidR="00D978DA" w:rsidRPr="00170568" w:rsidRDefault="00D978DA" w:rsidP="00D978DA">
      <w:pPr>
        <w:spacing w:after="0" w:line="240" w:lineRule="auto"/>
        <w:jc w:val="both"/>
        <w:rPr>
          <w:rFonts w:eastAsia="Times New Roman" w:cstheme="minorHAnsi"/>
          <w:lang w:eastAsia="fr-FR"/>
        </w:rPr>
      </w:pPr>
      <w:r w:rsidRPr="00170568">
        <w:rPr>
          <w:rFonts w:eastAsia="Times New Roman" w:cstheme="minorHAnsi"/>
          <w:lang w:eastAsia="fr-FR"/>
        </w:rPr>
        <w:t>Via une</w:t>
      </w:r>
      <w:r w:rsidRPr="00170568">
        <w:rPr>
          <w:rFonts w:eastAsia="Times New Roman" w:cstheme="minorHAnsi"/>
          <w:bCs/>
          <w:lang w:eastAsia="fr-FR"/>
        </w:rPr>
        <w:t xml:space="preserve"> lettre de change relevé</w:t>
      </w:r>
      <w:r w:rsidRPr="00170568">
        <w:rPr>
          <w:rFonts w:eastAsia="Times New Roman" w:cstheme="minorHAnsi"/>
          <w:lang w:eastAsia="fr-FR"/>
        </w:rPr>
        <w:t xml:space="preserve">, un fournisseur (le </w:t>
      </w:r>
      <w:r w:rsidRPr="00170568">
        <w:rPr>
          <w:rFonts w:eastAsia="Times New Roman" w:cstheme="minorHAnsi"/>
          <w:bCs/>
          <w:lang w:eastAsia="fr-FR"/>
        </w:rPr>
        <w:t>tireur</w:t>
      </w:r>
      <w:r w:rsidRPr="00170568">
        <w:rPr>
          <w:rFonts w:eastAsia="Times New Roman" w:cstheme="minorHAnsi"/>
          <w:lang w:eastAsia="fr-FR"/>
        </w:rPr>
        <w:t xml:space="preserve">) donne l’ordre à son client (le </w:t>
      </w:r>
      <w:r w:rsidRPr="00170568">
        <w:rPr>
          <w:rFonts w:eastAsia="Times New Roman" w:cstheme="minorHAnsi"/>
          <w:bCs/>
          <w:lang w:eastAsia="fr-FR"/>
        </w:rPr>
        <w:t>tiré</w:t>
      </w:r>
      <w:r w:rsidRPr="00170568">
        <w:rPr>
          <w:rFonts w:eastAsia="Times New Roman" w:cstheme="minorHAnsi"/>
          <w:lang w:eastAsia="fr-FR"/>
        </w:rPr>
        <w:t>) de lui payer un montant déterminé, à une date déterminée.</w:t>
      </w:r>
      <w:r w:rsidRPr="00170568">
        <w:rPr>
          <w:rFonts w:eastAsia="Times New Roman" w:cstheme="minorHAnsi"/>
          <w:bCs/>
          <w:lang w:eastAsia="fr-FR"/>
        </w:rPr>
        <w:t xml:space="preserve">  </w:t>
      </w:r>
    </w:p>
    <w:p w:rsidR="00D978DA" w:rsidRPr="00170568" w:rsidRDefault="00D978DA" w:rsidP="00D978DA">
      <w:pPr>
        <w:spacing w:after="0" w:line="240" w:lineRule="auto"/>
        <w:jc w:val="both"/>
        <w:rPr>
          <w:rFonts w:eastAsia="Times New Roman" w:cstheme="minorHAnsi"/>
          <w:lang w:eastAsia="fr-FR"/>
        </w:rPr>
      </w:pPr>
      <w:r w:rsidRPr="00170568">
        <w:rPr>
          <w:rFonts w:eastAsia="Times New Roman" w:cstheme="minorHAnsi"/>
          <w:bCs/>
          <w:lang w:eastAsia="fr-FR"/>
        </w:rPr>
        <w:t>La lettre de change relevé</w:t>
      </w:r>
      <w:r w:rsidRPr="00170568">
        <w:rPr>
          <w:rFonts w:eastAsia="Times New Roman" w:cstheme="minorHAnsi"/>
          <w:lang w:eastAsia="fr-FR"/>
        </w:rPr>
        <w:t xml:space="preserve"> est essentiellement utilisée pour les relations entre professionnels pour des </w:t>
      </w:r>
      <w:r w:rsidRPr="00170568">
        <w:rPr>
          <w:rFonts w:eastAsia="Times New Roman" w:cstheme="minorHAnsi"/>
          <w:bCs/>
          <w:lang w:eastAsia="fr-FR"/>
        </w:rPr>
        <w:t>transactions commerciales</w:t>
      </w:r>
      <w:r w:rsidRPr="00170568">
        <w:rPr>
          <w:rFonts w:eastAsia="Times New Roman" w:cstheme="minorHAnsi"/>
          <w:lang w:eastAsia="fr-FR"/>
        </w:rPr>
        <w:t xml:space="preserve">. La lettre de change relevé constitue en effet un avantage </w:t>
      </w:r>
      <w:r w:rsidR="00674817" w:rsidRPr="00170568">
        <w:rPr>
          <w:rFonts w:eastAsia="Times New Roman" w:cstheme="minorHAnsi"/>
          <w:lang w:eastAsia="fr-FR"/>
        </w:rPr>
        <w:t>en termes de</w:t>
      </w:r>
      <w:r w:rsidRPr="00170568">
        <w:rPr>
          <w:rFonts w:eastAsia="Times New Roman" w:cstheme="minorHAnsi"/>
          <w:lang w:eastAsia="fr-FR"/>
        </w:rPr>
        <w:t xml:space="preserve"> trésorerie, elle est assimilée à un </w:t>
      </w:r>
      <w:r w:rsidRPr="00170568">
        <w:rPr>
          <w:rFonts w:eastAsia="Times New Roman" w:cstheme="minorHAnsi"/>
          <w:bCs/>
          <w:lang w:eastAsia="fr-FR"/>
        </w:rPr>
        <w:t>instrument de crédit</w:t>
      </w:r>
      <w:r w:rsidRPr="00170568">
        <w:rPr>
          <w:rFonts w:eastAsia="Times New Roman" w:cstheme="minorHAnsi"/>
          <w:lang w:eastAsia="fr-FR"/>
        </w:rPr>
        <w:t xml:space="preserve"> puisqu’elle est payable à terme et non immédiatement.</w:t>
      </w:r>
    </w:p>
    <w:p w:rsidR="00D978DA" w:rsidRPr="00170568" w:rsidRDefault="00D978DA" w:rsidP="00D978DA">
      <w:pPr>
        <w:spacing w:after="0" w:line="240" w:lineRule="auto"/>
        <w:jc w:val="both"/>
        <w:rPr>
          <w:rFonts w:eastAsia="Times New Roman" w:cstheme="minorHAnsi"/>
          <w:lang w:eastAsia="fr-FR"/>
        </w:rPr>
      </w:pPr>
    </w:p>
    <w:p w:rsidR="00D978DA" w:rsidRPr="001C5934" w:rsidRDefault="00D978DA" w:rsidP="001C5934">
      <w:pPr>
        <w:spacing w:after="0" w:line="240" w:lineRule="auto"/>
        <w:outlineLvl w:val="1"/>
        <w:rPr>
          <w:rFonts w:eastAsia="Times New Roman" w:cstheme="minorHAnsi"/>
          <w:b/>
          <w:bCs/>
          <w:sz w:val="24"/>
          <w:szCs w:val="24"/>
          <w:lang w:eastAsia="fr-FR"/>
        </w:rPr>
      </w:pPr>
      <w:bookmarkStart w:id="0" w:name="_GoBack"/>
      <w:r w:rsidRPr="001C5934">
        <w:rPr>
          <w:rFonts w:eastAsia="Times New Roman" w:cstheme="minorHAnsi"/>
          <w:b/>
          <w:bCs/>
          <w:sz w:val="24"/>
          <w:szCs w:val="24"/>
          <w:lang w:eastAsia="fr-FR"/>
        </w:rPr>
        <w:t>Formalisme de la lettre de change relevé</w:t>
      </w:r>
      <w:r w:rsidR="005E2CF5" w:rsidRPr="001C5934">
        <w:rPr>
          <w:rFonts w:eastAsia="Times New Roman" w:cstheme="minorHAnsi"/>
          <w:b/>
          <w:bCs/>
          <w:sz w:val="24"/>
          <w:szCs w:val="24"/>
          <w:lang w:eastAsia="fr-FR"/>
        </w:rPr>
        <w:tab/>
      </w:r>
    </w:p>
    <w:bookmarkEnd w:id="0"/>
    <w:p w:rsidR="00D978DA" w:rsidRPr="00170568" w:rsidRDefault="00D978DA" w:rsidP="00D978DA">
      <w:pPr>
        <w:spacing w:after="0" w:line="240" w:lineRule="auto"/>
        <w:rPr>
          <w:rFonts w:eastAsia="Times New Roman" w:cstheme="minorHAnsi"/>
          <w:lang w:eastAsia="fr-FR"/>
        </w:rPr>
      </w:pPr>
      <w:r w:rsidRPr="00170568">
        <w:rPr>
          <w:rFonts w:eastAsia="Times New Roman" w:cstheme="minorHAnsi"/>
          <w:lang w:eastAsia="fr-FR"/>
        </w:rPr>
        <w:t>Pour être valide, une</w:t>
      </w:r>
      <w:r w:rsidRPr="00170568">
        <w:rPr>
          <w:rFonts w:eastAsia="Times New Roman" w:cstheme="minorHAnsi"/>
          <w:bCs/>
          <w:lang w:eastAsia="fr-FR"/>
        </w:rPr>
        <w:t xml:space="preserve"> Lettre de Change  Relevé</w:t>
      </w:r>
      <w:r w:rsidRPr="00170568">
        <w:rPr>
          <w:rFonts w:eastAsia="Times New Roman" w:cstheme="minorHAnsi"/>
          <w:lang w:eastAsia="fr-FR"/>
        </w:rPr>
        <w:t xml:space="preserve"> doit comporter un certain nombre de critères :</w:t>
      </w:r>
    </w:p>
    <w:p w:rsidR="00D978DA" w:rsidRPr="00170568" w:rsidRDefault="00D978DA" w:rsidP="00D978DA">
      <w:pPr>
        <w:pStyle w:val="Paragraphedeliste"/>
        <w:numPr>
          <w:ilvl w:val="0"/>
          <w:numId w:val="2"/>
        </w:numPr>
        <w:spacing w:after="0" w:line="240" w:lineRule="auto"/>
        <w:rPr>
          <w:rFonts w:eastAsia="Times New Roman" w:cstheme="minorHAnsi"/>
          <w:lang w:eastAsia="fr-FR"/>
        </w:rPr>
      </w:pPr>
      <w:r w:rsidRPr="00170568">
        <w:rPr>
          <w:rFonts w:eastAsia="Times New Roman" w:cstheme="minorHAnsi"/>
          <w:lang w:eastAsia="fr-FR"/>
        </w:rPr>
        <w:t xml:space="preserve">informations relatives à </w:t>
      </w:r>
      <w:r w:rsidRPr="00170568">
        <w:rPr>
          <w:rFonts w:eastAsia="Times New Roman" w:cstheme="minorHAnsi"/>
          <w:bCs/>
          <w:lang w:eastAsia="fr-FR"/>
        </w:rPr>
        <w:t>la créance</w:t>
      </w:r>
      <w:r w:rsidRPr="00170568">
        <w:rPr>
          <w:rFonts w:eastAsia="Times New Roman" w:cstheme="minorHAnsi"/>
          <w:lang w:eastAsia="fr-FR"/>
        </w:rPr>
        <w:t> : date d’émission, lieu d’émission, montant </w:t>
      </w:r>
    </w:p>
    <w:p w:rsidR="00D978DA" w:rsidRPr="00170568" w:rsidRDefault="00D978DA" w:rsidP="00D978DA">
      <w:pPr>
        <w:pStyle w:val="Paragraphedeliste"/>
        <w:numPr>
          <w:ilvl w:val="0"/>
          <w:numId w:val="2"/>
        </w:numPr>
        <w:spacing w:after="0" w:line="240" w:lineRule="auto"/>
        <w:rPr>
          <w:rFonts w:eastAsia="Times New Roman" w:cstheme="minorHAnsi"/>
          <w:lang w:eastAsia="fr-FR"/>
        </w:rPr>
      </w:pPr>
      <w:r w:rsidRPr="00170568">
        <w:rPr>
          <w:rFonts w:eastAsia="Times New Roman" w:cstheme="minorHAnsi"/>
          <w:lang w:eastAsia="fr-FR"/>
        </w:rPr>
        <w:t xml:space="preserve">nom, adresse et signature du </w:t>
      </w:r>
      <w:r w:rsidRPr="00170568">
        <w:rPr>
          <w:rFonts w:eastAsia="Times New Roman" w:cstheme="minorHAnsi"/>
          <w:bCs/>
          <w:lang w:eastAsia="fr-FR"/>
        </w:rPr>
        <w:t>tireur </w:t>
      </w:r>
    </w:p>
    <w:p w:rsidR="00D978DA" w:rsidRPr="00170568" w:rsidRDefault="00D978DA" w:rsidP="00D978DA">
      <w:pPr>
        <w:pStyle w:val="Paragraphedeliste"/>
        <w:numPr>
          <w:ilvl w:val="0"/>
          <w:numId w:val="2"/>
        </w:numPr>
        <w:spacing w:after="0" w:line="240" w:lineRule="auto"/>
        <w:rPr>
          <w:rFonts w:eastAsia="Times New Roman" w:cstheme="minorHAnsi"/>
          <w:lang w:eastAsia="fr-FR"/>
        </w:rPr>
      </w:pPr>
      <w:r w:rsidRPr="00170568">
        <w:rPr>
          <w:rFonts w:eastAsia="Times New Roman" w:cstheme="minorHAnsi"/>
          <w:lang w:eastAsia="fr-FR"/>
        </w:rPr>
        <w:t xml:space="preserve">nom, adresse et coordonnées bancaires du </w:t>
      </w:r>
      <w:r w:rsidRPr="00170568">
        <w:rPr>
          <w:rFonts w:eastAsia="Times New Roman" w:cstheme="minorHAnsi"/>
          <w:bCs/>
          <w:lang w:eastAsia="fr-FR"/>
        </w:rPr>
        <w:t>tiré</w:t>
      </w:r>
      <w:r w:rsidRPr="00170568">
        <w:rPr>
          <w:rFonts w:eastAsia="Times New Roman" w:cstheme="minorHAnsi"/>
          <w:lang w:eastAsia="fr-FR"/>
        </w:rPr>
        <w:t> </w:t>
      </w:r>
    </w:p>
    <w:p w:rsidR="00D978DA" w:rsidRPr="00170568" w:rsidRDefault="00D978DA" w:rsidP="00D978DA">
      <w:pPr>
        <w:pStyle w:val="Paragraphedeliste"/>
        <w:numPr>
          <w:ilvl w:val="0"/>
          <w:numId w:val="2"/>
        </w:numPr>
        <w:spacing w:after="0" w:line="240" w:lineRule="auto"/>
        <w:rPr>
          <w:rFonts w:eastAsia="Times New Roman" w:cstheme="minorHAnsi"/>
          <w:lang w:eastAsia="fr-FR"/>
        </w:rPr>
      </w:pPr>
      <w:r w:rsidRPr="00170568">
        <w:rPr>
          <w:rFonts w:eastAsia="Times New Roman" w:cstheme="minorHAnsi"/>
          <w:lang w:eastAsia="fr-FR"/>
        </w:rPr>
        <w:t xml:space="preserve">signature du tiré : la signature de la </w:t>
      </w:r>
      <w:r w:rsidRPr="00170568">
        <w:rPr>
          <w:rFonts w:eastAsia="Times New Roman" w:cstheme="minorHAnsi"/>
          <w:bCs/>
          <w:lang w:eastAsia="fr-FR"/>
        </w:rPr>
        <w:t>Lettre de Change Relevé</w:t>
      </w:r>
      <w:r w:rsidRPr="00170568">
        <w:rPr>
          <w:rFonts w:eastAsia="Times New Roman" w:cstheme="minorHAnsi"/>
          <w:lang w:eastAsia="fr-FR"/>
        </w:rPr>
        <w:t xml:space="preserve"> vaut pour reconnaissance de la créance </w:t>
      </w:r>
    </w:p>
    <w:p w:rsidR="00D978DA" w:rsidRPr="00170568" w:rsidRDefault="00D978DA" w:rsidP="00D978DA">
      <w:pPr>
        <w:pStyle w:val="Paragraphedeliste"/>
        <w:numPr>
          <w:ilvl w:val="0"/>
          <w:numId w:val="2"/>
        </w:numPr>
        <w:spacing w:after="0" w:line="240" w:lineRule="auto"/>
        <w:rPr>
          <w:rFonts w:eastAsia="Times New Roman" w:cstheme="minorHAnsi"/>
          <w:lang w:eastAsia="fr-FR"/>
        </w:rPr>
      </w:pPr>
      <w:r w:rsidRPr="00170568">
        <w:rPr>
          <w:rFonts w:eastAsia="Times New Roman" w:cstheme="minorHAnsi"/>
          <w:bCs/>
          <w:lang w:eastAsia="fr-FR"/>
        </w:rPr>
        <w:t>date d’échéance</w:t>
      </w:r>
      <w:r w:rsidRPr="00170568">
        <w:rPr>
          <w:rFonts w:eastAsia="Times New Roman" w:cstheme="minorHAnsi"/>
          <w:lang w:eastAsia="fr-FR"/>
        </w:rPr>
        <w:t>. : si la date d’échéance n’est pas mentionnée, la Lettre de Change Relevé est payable « à vue », c'est-à-dire lorsque le souhaite le tiré. </w:t>
      </w:r>
    </w:p>
    <w:p w:rsidR="00D978DA" w:rsidRPr="00170568" w:rsidRDefault="00D978DA" w:rsidP="00D978DA">
      <w:pPr>
        <w:pStyle w:val="Paragraphedeliste"/>
        <w:spacing w:after="0" w:line="240" w:lineRule="auto"/>
        <w:rPr>
          <w:rFonts w:eastAsia="Times New Roman" w:cstheme="minorHAnsi"/>
          <w:lang w:eastAsia="fr-FR"/>
        </w:rPr>
      </w:pPr>
    </w:p>
    <w:p w:rsidR="00D978DA" w:rsidRPr="001C5934" w:rsidRDefault="00D978DA" w:rsidP="00D978DA">
      <w:pPr>
        <w:spacing w:after="0" w:line="240" w:lineRule="auto"/>
        <w:outlineLvl w:val="1"/>
        <w:rPr>
          <w:rFonts w:eastAsia="Times New Roman" w:cstheme="minorHAnsi"/>
          <w:b/>
          <w:bCs/>
          <w:sz w:val="24"/>
          <w:szCs w:val="24"/>
          <w:lang w:eastAsia="fr-FR"/>
        </w:rPr>
      </w:pPr>
      <w:r w:rsidRPr="001C5934">
        <w:rPr>
          <w:rFonts w:eastAsia="Times New Roman" w:cstheme="minorHAnsi"/>
          <w:b/>
          <w:bCs/>
          <w:sz w:val="24"/>
          <w:szCs w:val="24"/>
          <w:lang w:eastAsia="fr-FR"/>
        </w:rPr>
        <w:t>Avantages et inconvénients de la Lettre de Change Relevé </w:t>
      </w:r>
    </w:p>
    <w:p w:rsidR="00D978DA" w:rsidRPr="00170568" w:rsidRDefault="00D978DA" w:rsidP="00D978DA">
      <w:pPr>
        <w:spacing w:after="0" w:line="240" w:lineRule="auto"/>
        <w:outlineLvl w:val="2"/>
        <w:rPr>
          <w:rFonts w:eastAsia="Times New Roman" w:cstheme="minorHAnsi"/>
          <w:b/>
          <w:bCs/>
          <w:lang w:eastAsia="fr-FR"/>
        </w:rPr>
      </w:pPr>
      <w:r w:rsidRPr="00170568">
        <w:rPr>
          <w:rFonts w:eastAsia="Times New Roman" w:cstheme="minorHAnsi"/>
          <w:b/>
          <w:bCs/>
          <w:u w:val="single"/>
          <w:lang w:eastAsia="fr-FR"/>
        </w:rPr>
        <w:t>Pour le fournisseur</w:t>
      </w:r>
      <w:r w:rsidRPr="00170568">
        <w:rPr>
          <w:rFonts w:eastAsia="Times New Roman" w:cstheme="minorHAnsi"/>
          <w:b/>
          <w:bCs/>
          <w:lang w:eastAsia="fr-FR"/>
        </w:rPr>
        <w:t> </w:t>
      </w:r>
    </w:p>
    <w:p w:rsidR="00D978DA" w:rsidRPr="00170568" w:rsidRDefault="00D978DA" w:rsidP="00D978DA">
      <w:pPr>
        <w:spacing w:after="0" w:line="240" w:lineRule="auto"/>
        <w:rPr>
          <w:rFonts w:eastAsia="Times New Roman" w:cstheme="minorHAnsi"/>
          <w:lang w:eastAsia="fr-FR"/>
        </w:rPr>
      </w:pPr>
      <w:r w:rsidRPr="00170568">
        <w:rPr>
          <w:rFonts w:eastAsia="Times New Roman" w:cstheme="minorHAnsi"/>
          <w:lang w:eastAsia="fr-FR"/>
        </w:rPr>
        <w:t xml:space="preserve">Vous avez négocié un règlement différé avec votre client. Dans ce cas, vous avez la possibilité d’envoyer à votre client une </w:t>
      </w:r>
      <w:r w:rsidRPr="00170568">
        <w:rPr>
          <w:rFonts w:eastAsia="Times New Roman" w:cstheme="minorHAnsi"/>
          <w:bCs/>
          <w:lang w:eastAsia="fr-FR"/>
        </w:rPr>
        <w:t>Lettre de Change</w:t>
      </w:r>
      <w:r w:rsidRPr="00170568">
        <w:rPr>
          <w:rFonts w:eastAsia="Times New Roman" w:cstheme="minorHAnsi"/>
          <w:lang w:eastAsia="fr-FR"/>
        </w:rPr>
        <w:t xml:space="preserve"> pour le montant et la date d’échéance convenus. Celui-ci devra vous la retourner signée.</w:t>
      </w:r>
    </w:p>
    <w:p w:rsidR="00D978DA" w:rsidRPr="00170568" w:rsidRDefault="00D978DA" w:rsidP="00D978DA">
      <w:pPr>
        <w:spacing w:after="0" w:line="240" w:lineRule="auto"/>
        <w:rPr>
          <w:rFonts w:eastAsia="Times New Roman" w:cstheme="minorHAnsi"/>
          <w:lang w:eastAsia="fr-FR"/>
        </w:rPr>
      </w:pPr>
      <w:r w:rsidRPr="00170568">
        <w:rPr>
          <w:rFonts w:eastAsia="Times New Roman" w:cstheme="minorHAnsi"/>
          <w:lang w:eastAsia="fr-FR"/>
        </w:rPr>
        <w:t>En signant la lettre de change, votre client reconnait la créance et ne pourra plus s’en défaire.</w:t>
      </w:r>
    </w:p>
    <w:p w:rsidR="00D978DA" w:rsidRPr="00170568" w:rsidRDefault="00D978DA" w:rsidP="00D978DA">
      <w:pPr>
        <w:numPr>
          <w:ilvl w:val="0"/>
          <w:numId w:val="1"/>
        </w:numPr>
        <w:spacing w:after="0" w:line="240" w:lineRule="auto"/>
        <w:rPr>
          <w:rFonts w:eastAsia="Times New Roman" w:cstheme="minorHAnsi"/>
          <w:lang w:eastAsia="fr-FR"/>
        </w:rPr>
      </w:pPr>
      <w:r w:rsidRPr="00170568">
        <w:rPr>
          <w:rFonts w:eastAsia="Times New Roman" w:cstheme="minorHAnsi"/>
          <w:lang w:eastAsia="fr-FR"/>
        </w:rPr>
        <w:t xml:space="preserve">Les plus : Si vous avez un besoin de trésorerie immédiat, il est possible de demander à votre banque de vous faire une avance sur le montant d’une </w:t>
      </w:r>
      <w:r w:rsidRPr="00170568">
        <w:rPr>
          <w:rFonts w:eastAsia="Times New Roman" w:cstheme="minorHAnsi"/>
          <w:bCs/>
          <w:lang w:eastAsia="fr-FR"/>
        </w:rPr>
        <w:t>Lettre de Change Relevé</w:t>
      </w:r>
      <w:r w:rsidRPr="00170568">
        <w:rPr>
          <w:rFonts w:eastAsia="Times New Roman" w:cstheme="minorHAnsi"/>
          <w:lang w:eastAsia="fr-FR"/>
        </w:rPr>
        <w:t xml:space="preserve"> à recevoir. Cette avance n’est toutefois pas gratuite !</w:t>
      </w:r>
    </w:p>
    <w:p w:rsidR="00D978DA" w:rsidRPr="00170568" w:rsidRDefault="00D978DA" w:rsidP="00D978DA">
      <w:pPr>
        <w:numPr>
          <w:ilvl w:val="0"/>
          <w:numId w:val="1"/>
        </w:numPr>
        <w:spacing w:after="0" w:line="240" w:lineRule="auto"/>
        <w:rPr>
          <w:rFonts w:eastAsia="Times New Roman" w:cstheme="minorHAnsi"/>
          <w:lang w:eastAsia="fr-FR"/>
        </w:rPr>
      </w:pPr>
      <w:r w:rsidRPr="00170568">
        <w:rPr>
          <w:rFonts w:eastAsia="Times New Roman" w:cstheme="minorHAnsi"/>
          <w:lang w:eastAsia="fr-FR"/>
        </w:rPr>
        <w:t xml:space="preserve"> Les moins : en cas de défaut de paiement de la part de votre client (défaut de provision sur le compte), la banque vous retournera l’original de la Lettre de Change Relevé afin que vous puissiez engager des poursuites contre votre client. La </w:t>
      </w:r>
      <w:r w:rsidRPr="00170568">
        <w:rPr>
          <w:rFonts w:eastAsia="Times New Roman" w:cstheme="minorHAnsi"/>
          <w:bCs/>
          <w:lang w:eastAsia="fr-FR"/>
        </w:rPr>
        <w:t>Lettre de Change Relevé</w:t>
      </w:r>
      <w:r w:rsidRPr="00170568">
        <w:rPr>
          <w:rFonts w:eastAsia="Times New Roman" w:cstheme="minorHAnsi"/>
          <w:lang w:eastAsia="fr-FR"/>
        </w:rPr>
        <w:t xml:space="preserve"> ne constitue donc pas une certitude que la somme sera versée. Il reste donc indispensable de se renseigner sur ses clients.  </w:t>
      </w:r>
    </w:p>
    <w:p w:rsidR="00D978DA" w:rsidRPr="00170568" w:rsidRDefault="00D978DA" w:rsidP="00D978DA">
      <w:pPr>
        <w:spacing w:after="0" w:line="240" w:lineRule="auto"/>
        <w:rPr>
          <w:rFonts w:eastAsia="Times New Roman" w:cstheme="minorHAnsi"/>
          <w:lang w:eastAsia="fr-FR"/>
        </w:rPr>
      </w:pPr>
    </w:p>
    <w:p w:rsidR="00D978DA" w:rsidRPr="00170568" w:rsidRDefault="00D978DA" w:rsidP="00D978DA">
      <w:pPr>
        <w:spacing w:after="0" w:line="240" w:lineRule="auto"/>
        <w:outlineLvl w:val="2"/>
        <w:rPr>
          <w:rFonts w:eastAsia="Times New Roman" w:cstheme="minorHAnsi"/>
          <w:b/>
          <w:bCs/>
          <w:lang w:eastAsia="fr-FR"/>
        </w:rPr>
      </w:pPr>
      <w:r w:rsidRPr="00170568">
        <w:rPr>
          <w:rFonts w:eastAsia="Times New Roman" w:cstheme="minorHAnsi"/>
          <w:b/>
          <w:bCs/>
          <w:u w:val="single"/>
          <w:lang w:eastAsia="fr-FR"/>
        </w:rPr>
        <w:t>Pour le client</w:t>
      </w:r>
    </w:p>
    <w:p w:rsidR="00D978DA" w:rsidRPr="00170568" w:rsidRDefault="00D978DA" w:rsidP="00D978DA">
      <w:pPr>
        <w:spacing w:after="0" w:line="240" w:lineRule="auto"/>
        <w:rPr>
          <w:rFonts w:eastAsia="Times New Roman" w:cstheme="minorHAnsi"/>
          <w:lang w:eastAsia="fr-FR"/>
        </w:rPr>
      </w:pPr>
      <w:r w:rsidRPr="00170568">
        <w:rPr>
          <w:rFonts w:eastAsia="Times New Roman" w:cstheme="minorHAnsi"/>
          <w:lang w:eastAsia="fr-FR"/>
        </w:rPr>
        <w:t>Si vous avez conclu avec votre fournisseur que vous le régleriez par</w:t>
      </w:r>
      <w:r w:rsidRPr="00170568">
        <w:rPr>
          <w:rFonts w:eastAsia="Times New Roman" w:cstheme="minorHAnsi"/>
          <w:bCs/>
          <w:lang w:eastAsia="fr-FR"/>
        </w:rPr>
        <w:t xml:space="preserve"> Lettre de Change Relevé</w:t>
      </w:r>
      <w:r w:rsidRPr="00170568">
        <w:rPr>
          <w:rFonts w:eastAsia="Times New Roman" w:cstheme="minorHAnsi"/>
          <w:lang w:eastAsia="fr-FR"/>
        </w:rPr>
        <w:t>, vous la recevrez en même temps que votre facture. Vous devrez donc signer la Lettre de Change et la retourner à votre fournisseur.</w:t>
      </w:r>
    </w:p>
    <w:p w:rsidR="00D978DA" w:rsidRPr="00170568" w:rsidRDefault="00D978DA" w:rsidP="00D978DA">
      <w:pPr>
        <w:numPr>
          <w:ilvl w:val="0"/>
          <w:numId w:val="3"/>
        </w:numPr>
        <w:spacing w:after="0" w:line="240" w:lineRule="auto"/>
        <w:rPr>
          <w:rFonts w:eastAsia="Times New Roman" w:cstheme="minorHAnsi"/>
          <w:lang w:eastAsia="fr-FR"/>
        </w:rPr>
      </w:pPr>
      <w:r w:rsidRPr="00170568">
        <w:rPr>
          <w:rFonts w:eastAsia="Times New Roman" w:cstheme="minorHAnsi"/>
          <w:lang w:eastAsia="fr-FR"/>
        </w:rPr>
        <w:t xml:space="preserve">Les plus : aucun règlement ne pourra être exigé avant la </w:t>
      </w:r>
      <w:r w:rsidRPr="00170568">
        <w:rPr>
          <w:rFonts w:eastAsia="Times New Roman" w:cstheme="minorHAnsi"/>
          <w:bCs/>
          <w:lang w:eastAsia="fr-FR"/>
        </w:rPr>
        <w:t>date d’échéance.</w:t>
      </w:r>
      <w:r w:rsidRPr="00170568">
        <w:rPr>
          <w:rFonts w:eastAsia="Times New Roman" w:cstheme="minorHAnsi"/>
          <w:lang w:eastAsia="fr-FR"/>
        </w:rPr>
        <w:t>  </w:t>
      </w:r>
    </w:p>
    <w:p w:rsidR="00D978DA" w:rsidRPr="00170568" w:rsidRDefault="00D978DA" w:rsidP="00D978DA">
      <w:pPr>
        <w:numPr>
          <w:ilvl w:val="0"/>
          <w:numId w:val="3"/>
        </w:numPr>
        <w:spacing w:after="0" w:line="240" w:lineRule="auto"/>
        <w:rPr>
          <w:rFonts w:eastAsia="Times New Roman" w:cstheme="minorHAnsi"/>
          <w:lang w:eastAsia="fr-FR"/>
        </w:rPr>
      </w:pPr>
      <w:r w:rsidRPr="00170568">
        <w:rPr>
          <w:rFonts w:eastAsia="Times New Roman" w:cstheme="minorHAnsi"/>
          <w:lang w:eastAsia="fr-FR"/>
        </w:rPr>
        <w:t xml:space="preserve">Les moins : en cas de défaut de provision au moment de l’échéance de la </w:t>
      </w:r>
      <w:r w:rsidRPr="00170568">
        <w:rPr>
          <w:rFonts w:eastAsia="Times New Roman" w:cstheme="minorHAnsi"/>
          <w:bCs/>
          <w:lang w:eastAsia="fr-FR"/>
        </w:rPr>
        <w:t>lettre de change relevé</w:t>
      </w:r>
      <w:r w:rsidRPr="00170568">
        <w:rPr>
          <w:rFonts w:eastAsia="Times New Roman" w:cstheme="minorHAnsi"/>
          <w:lang w:eastAsia="fr-FR"/>
        </w:rPr>
        <w:t xml:space="preserve">, le règlement sera refusé. Vous serez alors inscrit à la Banque de France dans le registre des incidents de paiement sur </w:t>
      </w:r>
      <w:r w:rsidRPr="00170568">
        <w:rPr>
          <w:rFonts w:eastAsia="Times New Roman" w:cstheme="minorHAnsi"/>
          <w:bCs/>
          <w:lang w:eastAsia="fr-FR"/>
        </w:rPr>
        <w:t>Lettre de Change Relevé</w:t>
      </w:r>
      <w:r w:rsidRPr="00170568">
        <w:rPr>
          <w:rFonts w:eastAsia="Times New Roman" w:cstheme="minorHAnsi"/>
          <w:lang w:eastAsia="fr-FR"/>
        </w:rPr>
        <w:t>. Il est donc indispensable de négocier la date d’échéance d’une lettre de change si vous pensez que vous ne pourrez pas l’honorer.</w:t>
      </w:r>
    </w:p>
    <w:p w:rsidR="007437C9" w:rsidRPr="00170568" w:rsidRDefault="007437C9" w:rsidP="00D978DA">
      <w:pPr>
        <w:spacing w:after="0" w:line="240" w:lineRule="auto"/>
        <w:jc w:val="right"/>
        <w:rPr>
          <w:rFonts w:eastAsia="Times New Roman" w:cstheme="minorHAnsi"/>
          <w:lang w:eastAsia="fr-FR"/>
        </w:rPr>
      </w:pPr>
    </w:p>
    <w:p w:rsidR="00887CE9" w:rsidRPr="001C5934" w:rsidRDefault="00D978DA" w:rsidP="00D978DA">
      <w:pPr>
        <w:spacing w:after="0" w:line="240" w:lineRule="auto"/>
        <w:jc w:val="right"/>
        <w:rPr>
          <w:rFonts w:eastAsia="Times New Roman" w:cstheme="minorHAnsi"/>
          <w:i/>
          <w:lang w:eastAsia="fr-FR"/>
        </w:rPr>
        <w:sectPr w:rsidR="00887CE9" w:rsidRPr="001C5934" w:rsidSect="001C5934">
          <w:footerReference w:type="default" r:id="rId7"/>
          <w:pgSz w:w="11906" w:h="16838"/>
          <w:pgMar w:top="851" w:right="851" w:bottom="851" w:left="851" w:header="709" w:footer="709" w:gutter="0"/>
          <w:cols w:space="708"/>
          <w:docGrid w:linePitch="360"/>
        </w:sectPr>
      </w:pPr>
      <w:r w:rsidRPr="001C5934">
        <w:rPr>
          <w:rFonts w:eastAsia="Times New Roman" w:cstheme="minorHAnsi"/>
          <w:i/>
          <w:lang w:eastAsia="fr-FR"/>
        </w:rPr>
        <w:t>Source : www.l-expert-comptable.com</w:t>
      </w:r>
    </w:p>
    <w:p w:rsidR="00405E9C" w:rsidRPr="001C5934" w:rsidRDefault="007437C9" w:rsidP="001C5934">
      <w:pPr>
        <w:spacing w:after="0" w:line="240" w:lineRule="auto"/>
        <w:outlineLvl w:val="0"/>
        <w:rPr>
          <w:rFonts w:cstheme="minorHAnsi"/>
          <w:sz w:val="28"/>
        </w:rPr>
      </w:pPr>
      <w:r w:rsidRPr="001C5934">
        <w:rPr>
          <w:rFonts w:eastAsia="Times New Roman" w:cstheme="minorHAnsi"/>
          <w:b/>
          <w:bCs/>
          <w:kern w:val="36"/>
          <w:sz w:val="28"/>
          <w:lang w:eastAsia="fr-FR"/>
        </w:rPr>
        <w:lastRenderedPageBreak/>
        <w:t>Redo 5. L</w:t>
      </w:r>
      <w:r w:rsidR="00405E9C" w:rsidRPr="001C5934">
        <w:rPr>
          <w:rFonts w:eastAsia="Times New Roman" w:cstheme="minorHAnsi"/>
          <w:b/>
          <w:bCs/>
          <w:kern w:val="36"/>
          <w:sz w:val="28"/>
          <w:lang w:eastAsia="fr-FR"/>
        </w:rPr>
        <w:t>a mise en demeure de payer</w:t>
      </w:r>
    </w:p>
    <w:p w:rsidR="00C92BC0" w:rsidRPr="001C5934" w:rsidRDefault="00C92BC0" w:rsidP="001C5934">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C5934">
        <w:rPr>
          <w:rFonts w:asciiTheme="minorHAnsi" w:hAnsiTheme="minorHAnsi" w:cstheme="minorHAnsi"/>
          <w:sz w:val="22"/>
          <w:szCs w:val="22"/>
        </w:rPr>
        <w:t xml:space="preserve">Une </w:t>
      </w:r>
      <w:r w:rsidRPr="001C5934">
        <w:rPr>
          <w:rFonts w:asciiTheme="minorHAnsi" w:hAnsiTheme="minorHAnsi" w:cstheme="minorHAnsi"/>
          <w:b/>
          <w:bCs/>
          <w:sz w:val="22"/>
          <w:szCs w:val="22"/>
        </w:rPr>
        <w:t>lettre de relance</w:t>
      </w:r>
      <w:r w:rsidRPr="001C5934">
        <w:rPr>
          <w:rFonts w:asciiTheme="minorHAnsi" w:hAnsiTheme="minorHAnsi" w:cstheme="minorHAnsi"/>
          <w:sz w:val="22"/>
          <w:szCs w:val="22"/>
        </w:rPr>
        <w:t xml:space="preserve"> (ou </w:t>
      </w:r>
      <w:r w:rsidRPr="001C5934">
        <w:rPr>
          <w:rFonts w:asciiTheme="minorHAnsi" w:hAnsiTheme="minorHAnsi" w:cstheme="minorHAnsi"/>
          <w:b/>
          <w:bCs/>
          <w:sz w:val="22"/>
          <w:szCs w:val="22"/>
        </w:rPr>
        <w:t>lettre de rappel</w:t>
      </w:r>
      <w:r w:rsidRPr="001C5934">
        <w:rPr>
          <w:rFonts w:asciiTheme="minorHAnsi" w:hAnsiTheme="minorHAnsi" w:cstheme="minorHAnsi"/>
          <w:sz w:val="22"/>
          <w:szCs w:val="22"/>
        </w:rPr>
        <w:t xml:space="preserve">) est un courrier envoyé par un expéditeur qui vise à rappeler à son destinataire qu'il y a un désaccord entre eux, généralement une dette. </w:t>
      </w:r>
      <w:r w:rsidRPr="001C5934">
        <w:rPr>
          <w:rFonts w:asciiTheme="minorHAnsi" w:hAnsiTheme="minorHAnsi" w:cstheme="minorHAnsi"/>
          <w:b/>
          <w:sz w:val="22"/>
          <w:szCs w:val="22"/>
        </w:rPr>
        <w:t>Cette lettre est la suite d'une première réclamation</w:t>
      </w:r>
      <w:r w:rsidRPr="001C5934">
        <w:rPr>
          <w:rFonts w:asciiTheme="minorHAnsi" w:hAnsiTheme="minorHAnsi" w:cstheme="minorHAnsi"/>
          <w:sz w:val="22"/>
          <w:szCs w:val="22"/>
        </w:rPr>
        <w:t>. Cette démarche peut être faite en nom propre ou par l'intermédiaire d'un établissement de recouvrement de créances, d'un avocat ou de toute autre personne dûment mandatée.</w:t>
      </w:r>
    </w:p>
    <w:p w:rsidR="00C92BC0" w:rsidRPr="001C5934" w:rsidRDefault="00C92BC0" w:rsidP="001C5934">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C5934">
        <w:rPr>
          <w:rFonts w:asciiTheme="minorHAnsi" w:hAnsiTheme="minorHAnsi" w:cstheme="minorHAnsi"/>
          <w:sz w:val="22"/>
          <w:szCs w:val="22"/>
        </w:rPr>
        <w:t xml:space="preserve">La lettre de rappel </w:t>
      </w:r>
      <w:r w:rsidRPr="001C5934">
        <w:rPr>
          <w:rFonts w:asciiTheme="minorHAnsi" w:hAnsiTheme="minorHAnsi" w:cstheme="minorHAnsi"/>
          <w:b/>
          <w:sz w:val="22"/>
          <w:szCs w:val="22"/>
        </w:rPr>
        <w:t>n'a aucun fondement légal</w:t>
      </w:r>
      <w:r w:rsidRPr="001C5934">
        <w:rPr>
          <w:rFonts w:asciiTheme="minorHAnsi" w:hAnsiTheme="minorHAnsi" w:cstheme="minorHAnsi"/>
          <w:sz w:val="22"/>
          <w:szCs w:val="22"/>
        </w:rPr>
        <w:t xml:space="preserve"> mais permet la négociation. Quand la lettre est un préalable formalisé à une action en justice, il s'agit d'une « lettre de mise en demeure ».</w:t>
      </w:r>
    </w:p>
    <w:p w:rsidR="00C92BC0" w:rsidRPr="001C5934" w:rsidRDefault="00C92BC0" w:rsidP="001C5934">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C5934">
        <w:rPr>
          <w:rFonts w:asciiTheme="minorHAnsi" w:hAnsiTheme="minorHAnsi" w:cstheme="minorHAnsi"/>
          <w:sz w:val="22"/>
          <w:szCs w:val="22"/>
        </w:rPr>
        <w:t xml:space="preserve">Les lettres de rappel, si elles ne sont soumises à aucun formalisme, </w:t>
      </w:r>
      <w:r w:rsidRPr="001C5934">
        <w:rPr>
          <w:rFonts w:asciiTheme="minorHAnsi" w:hAnsiTheme="minorHAnsi" w:cstheme="minorHAnsi"/>
          <w:b/>
          <w:sz w:val="22"/>
          <w:szCs w:val="22"/>
        </w:rPr>
        <w:t>ne doivent pas faire l'objet d'abus</w:t>
      </w:r>
      <w:r w:rsidRPr="001C5934">
        <w:rPr>
          <w:rFonts w:asciiTheme="minorHAnsi" w:hAnsiTheme="minorHAnsi" w:cstheme="minorHAnsi"/>
          <w:sz w:val="22"/>
          <w:szCs w:val="22"/>
        </w:rPr>
        <w:t xml:space="preserve"> ayant pour but d'entrainer la crainte de celui qui les reçoit sous peine de tomber sous l'incrimination de harcèlement ou menace.</w:t>
      </w:r>
    </w:p>
    <w:p w:rsidR="00C92BC0" w:rsidRPr="00170568" w:rsidRDefault="00C92BC0" w:rsidP="005E2CF5">
      <w:pPr>
        <w:pStyle w:val="Titre1"/>
        <w:spacing w:before="0" w:beforeAutospacing="0" w:after="0" w:afterAutospacing="0"/>
        <w:rPr>
          <w:rFonts w:asciiTheme="minorHAnsi" w:hAnsiTheme="minorHAnsi" w:cstheme="minorHAnsi"/>
          <w:sz w:val="22"/>
          <w:szCs w:val="22"/>
        </w:rPr>
      </w:pPr>
    </w:p>
    <w:p w:rsidR="00B178E5" w:rsidRPr="00170568" w:rsidRDefault="005E2CF5" w:rsidP="00EB1DC3">
      <w:pPr>
        <w:pStyle w:val="Titre1"/>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170568">
        <w:rPr>
          <w:rFonts w:asciiTheme="minorHAnsi" w:hAnsiTheme="minorHAnsi" w:cstheme="minorHAnsi"/>
          <w:sz w:val="22"/>
          <w:szCs w:val="22"/>
        </w:rPr>
        <w:t>Recouvrement de créance : la mise en demeure</w:t>
      </w:r>
    </w:p>
    <w:p w:rsidR="005E2CF5" w:rsidRPr="00170568" w:rsidRDefault="00B178E5" w:rsidP="00EB1DC3">
      <w:pPr>
        <w:pStyle w:val="Titre1"/>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170568">
        <w:rPr>
          <w:rFonts w:asciiTheme="minorHAnsi" w:hAnsiTheme="minorHAnsi" w:cstheme="minorHAnsi"/>
          <w:sz w:val="22"/>
          <w:szCs w:val="22"/>
        </w:rPr>
        <w:t>(</w:t>
      </w:r>
      <w:r w:rsidR="00EB1DC3" w:rsidRPr="00170568">
        <w:rPr>
          <w:rFonts w:asciiTheme="minorHAnsi" w:hAnsiTheme="minorHAnsi" w:cstheme="minorHAnsi"/>
          <w:sz w:val="22"/>
          <w:szCs w:val="22"/>
        </w:rPr>
        <w:t>Extrait du code civil et du code de procédures civiles d’exécution</w:t>
      </w:r>
      <w:r w:rsidRPr="00170568">
        <w:rPr>
          <w:rFonts w:asciiTheme="minorHAnsi" w:hAnsiTheme="minorHAnsi" w:cstheme="minorHAnsi"/>
          <w:sz w:val="22"/>
          <w:szCs w:val="22"/>
        </w:rPr>
        <w:t>)</w:t>
      </w:r>
    </w:p>
    <w:p w:rsidR="004979AD" w:rsidRPr="00170568" w:rsidRDefault="004979AD" w:rsidP="00EB1DC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p>
    <w:p w:rsidR="004979AD" w:rsidRPr="001C5934" w:rsidRDefault="00EB1DC3" w:rsidP="00EB1DC3">
      <w:pPr>
        <w:pBdr>
          <w:top w:val="single" w:sz="4" w:space="1" w:color="auto"/>
          <w:left w:val="single" w:sz="4" w:space="4" w:color="auto"/>
          <w:bottom w:val="single" w:sz="4" w:space="1" w:color="auto"/>
          <w:right w:val="single" w:sz="4" w:space="4" w:color="auto"/>
        </w:pBdr>
        <w:rPr>
          <w:rFonts w:cstheme="minorHAnsi"/>
          <w:b/>
        </w:rPr>
      </w:pPr>
      <w:r w:rsidRPr="001C5934">
        <w:rPr>
          <w:rFonts w:cstheme="minorHAnsi"/>
          <w:b/>
        </w:rPr>
        <w:t xml:space="preserve">Code civil : </w:t>
      </w:r>
      <w:r w:rsidR="004979AD" w:rsidRPr="001C5934">
        <w:rPr>
          <w:rFonts w:cstheme="minorHAnsi"/>
          <w:b/>
        </w:rPr>
        <w:t xml:space="preserve">Paragraphe 1 : La mise en demeure du débiteur </w:t>
      </w:r>
    </w:p>
    <w:p w:rsidR="004979AD" w:rsidRPr="001C5934" w:rsidRDefault="004979AD" w:rsidP="001C5934">
      <w:pPr>
        <w:pBdr>
          <w:top w:val="single" w:sz="4" w:space="1" w:color="auto"/>
          <w:left w:val="single" w:sz="4" w:space="4" w:color="auto"/>
          <w:bottom w:val="single" w:sz="4" w:space="1" w:color="auto"/>
          <w:right w:val="single" w:sz="4" w:space="4" w:color="auto"/>
        </w:pBdr>
        <w:jc w:val="both"/>
        <w:rPr>
          <w:rFonts w:cstheme="minorHAnsi"/>
        </w:rPr>
      </w:pPr>
      <w:r w:rsidRPr="001C5934">
        <w:rPr>
          <w:rFonts w:cstheme="minorHAnsi"/>
        </w:rPr>
        <w:t xml:space="preserve">Article 1344 </w:t>
      </w:r>
      <w:r w:rsidR="00EB1DC3" w:rsidRPr="001C5934">
        <w:rPr>
          <w:rFonts w:cstheme="minorHAnsi"/>
        </w:rPr>
        <w:t xml:space="preserve"> </w:t>
      </w:r>
      <w:r w:rsidRPr="001C5934">
        <w:rPr>
          <w:rFonts w:cstheme="minorHAnsi"/>
        </w:rPr>
        <w:t xml:space="preserve">Le débiteur est mis en demeure de payer soit par une sommation ou un acte portant interpellation suffisante, soit, si le contrat le prévoit, par la seule exigibilité de l'obligation. </w:t>
      </w:r>
    </w:p>
    <w:p w:rsidR="004979AD" w:rsidRPr="001C5934" w:rsidRDefault="004979AD" w:rsidP="001C5934">
      <w:pPr>
        <w:pBdr>
          <w:top w:val="single" w:sz="4" w:space="1" w:color="auto"/>
          <w:left w:val="single" w:sz="4" w:space="4" w:color="auto"/>
          <w:bottom w:val="single" w:sz="4" w:space="1" w:color="auto"/>
          <w:right w:val="single" w:sz="4" w:space="4" w:color="auto"/>
        </w:pBdr>
        <w:jc w:val="both"/>
        <w:rPr>
          <w:rFonts w:cstheme="minorHAnsi"/>
        </w:rPr>
      </w:pPr>
      <w:r w:rsidRPr="001C5934">
        <w:rPr>
          <w:rFonts w:cstheme="minorHAnsi"/>
        </w:rPr>
        <w:t>Article 1344-1 La mise en demeure de payer une obligation de somme d'argent fait courir l'intérêt moratoire, au taux légal, sans que le créancier soit tenu de justifier d'un préjudice.</w:t>
      </w:r>
    </w:p>
    <w:p w:rsidR="00EB1DC3" w:rsidRPr="001C5934" w:rsidRDefault="004979AD" w:rsidP="001C5934">
      <w:pPr>
        <w:pBdr>
          <w:top w:val="single" w:sz="4" w:space="1" w:color="auto"/>
          <w:left w:val="single" w:sz="4" w:space="4" w:color="auto"/>
          <w:bottom w:val="single" w:sz="4" w:space="1" w:color="auto"/>
          <w:right w:val="single" w:sz="4" w:space="4" w:color="auto"/>
        </w:pBdr>
        <w:jc w:val="both"/>
        <w:rPr>
          <w:rFonts w:cstheme="minorHAnsi"/>
        </w:rPr>
      </w:pPr>
      <w:r w:rsidRPr="001C5934">
        <w:rPr>
          <w:rFonts w:cstheme="minorHAnsi"/>
        </w:rPr>
        <w:t xml:space="preserve">Article 1344-2 </w:t>
      </w:r>
      <w:r w:rsidR="00EB1DC3" w:rsidRPr="001C5934">
        <w:rPr>
          <w:rFonts w:cstheme="minorHAnsi"/>
        </w:rPr>
        <w:t>La mise en demeure de délivrer une chose met les risques à la charge du débiteur, s'ils n'y sont déjà.</w:t>
      </w:r>
    </w:p>
    <w:p w:rsidR="00EB1DC3" w:rsidRPr="00170568" w:rsidRDefault="00EB1DC3" w:rsidP="001C5934">
      <w:pPr>
        <w:pBdr>
          <w:top w:val="single" w:sz="4" w:space="1" w:color="auto"/>
          <w:left w:val="single" w:sz="4" w:space="4" w:color="auto"/>
          <w:bottom w:val="single" w:sz="4" w:space="1" w:color="auto"/>
          <w:right w:val="single" w:sz="4" w:space="4" w:color="auto"/>
        </w:pBdr>
        <w:spacing w:after="0"/>
        <w:jc w:val="both"/>
        <w:rPr>
          <w:rFonts w:cstheme="minorHAnsi"/>
          <w:b/>
        </w:rPr>
      </w:pPr>
      <w:r w:rsidRPr="00170568">
        <w:rPr>
          <w:rFonts w:cstheme="minorHAnsi"/>
          <w:b/>
        </w:rPr>
        <w:t>Code des procédures civiles d’exécution</w:t>
      </w:r>
    </w:p>
    <w:p w:rsidR="00B178E5" w:rsidRPr="00170568" w:rsidRDefault="00B178E5" w:rsidP="001C5934">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rsidR="00B178E5" w:rsidRPr="001C5934" w:rsidRDefault="00EB1DC3" w:rsidP="001C5934">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1C5934">
        <w:rPr>
          <w:rFonts w:cstheme="minorHAnsi"/>
        </w:rPr>
        <w:t>Article R124-4</w:t>
      </w:r>
      <w:r w:rsidR="00B178E5" w:rsidRPr="001C5934">
        <w:rPr>
          <w:rFonts w:cstheme="minorHAnsi"/>
        </w:rPr>
        <w:t xml:space="preserve"> </w:t>
      </w:r>
      <w:r w:rsidRPr="001C5934">
        <w:rPr>
          <w:rFonts w:cstheme="minorHAnsi"/>
        </w:rPr>
        <w:t>La personne chargée du recouvrement amiable adresse au débiteur une lettre qui contient les mentions suivantes :</w:t>
      </w:r>
    </w:p>
    <w:p w:rsidR="00B178E5" w:rsidRPr="00170568" w:rsidRDefault="00EB1DC3" w:rsidP="001C593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1° Les nom ou dénomination sociale de la personne chargée du recouvrement amiable, son adresse ou son siège social, l'indication qu'elle exerce une activité de recouvrement amiable ;</w:t>
      </w:r>
    </w:p>
    <w:p w:rsidR="00B178E5" w:rsidRPr="00170568" w:rsidRDefault="00EB1DC3" w:rsidP="001C593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2° Les nom ou dénomination sociale du créancier, son adresse ou son siège social ;</w:t>
      </w:r>
    </w:p>
    <w:p w:rsidR="00B178E5" w:rsidRPr="00170568" w:rsidRDefault="00EB1DC3" w:rsidP="001C593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 xml:space="preserve">3° Le fondement et le montant de la somme due en principal, intérêts et autres accessoires, en distinguant les différents éléments de la dette, à l'exclusion des frais qui restent à la charge du créancier en application du troisième alinéa de l'article </w:t>
      </w:r>
      <w:hyperlink r:id="rId8" w:history="1">
        <w:r w:rsidRPr="00170568">
          <w:rPr>
            <w:rStyle w:val="Lienhypertexte"/>
            <w:rFonts w:asciiTheme="minorHAnsi" w:hAnsiTheme="minorHAnsi" w:cstheme="minorHAnsi"/>
            <w:sz w:val="22"/>
            <w:szCs w:val="22"/>
          </w:rPr>
          <w:t>L. 111-8</w:t>
        </w:r>
      </w:hyperlink>
      <w:r w:rsidRPr="00170568">
        <w:rPr>
          <w:rFonts w:asciiTheme="minorHAnsi" w:hAnsiTheme="minorHAnsi" w:cstheme="minorHAnsi"/>
          <w:sz w:val="22"/>
          <w:szCs w:val="22"/>
        </w:rPr>
        <w:t xml:space="preserve"> ;</w:t>
      </w:r>
    </w:p>
    <w:p w:rsidR="00B178E5" w:rsidRPr="00170568" w:rsidRDefault="00EB1DC3" w:rsidP="00B178E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4° L'indication d'avoir à payer la somme due et les modalités de paiement de la dette ;</w:t>
      </w:r>
    </w:p>
    <w:p w:rsidR="00B178E5" w:rsidRPr="00170568" w:rsidRDefault="00EB1DC3" w:rsidP="00B178E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5° La reproduction des deuxième et troisième alinéas de l'article L. 111-8.</w:t>
      </w:r>
    </w:p>
    <w:p w:rsidR="00EB1DC3" w:rsidRPr="00170568" w:rsidRDefault="00EB1DC3" w:rsidP="00B178E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Les références et date d'envoi de la lettre mentionnée au premier alinéa sont rappelées à l'occasion de toute autre démarche auprès du débiteur en vue du recouvrement amiable.</w:t>
      </w:r>
    </w:p>
    <w:p w:rsidR="003352B8" w:rsidRPr="00170568" w:rsidRDefault="003352B8">
      <w:pPr>
        <w:rPr>
          <w:rFonts w:eastAsia="Times New Roman" w:cstheme="minorHAnsi"/>
          <w:b/>
          <w:bCs/>
          <w:kern w:val="36"/>
          <w:lang w:eastAsia="fr-FR"/>
        </w:rPr>
      </w:pPr>
      <w:r w:rsidRPr="00170568">
        <w:rPr>
          <w:rFonts w:cstheme="minorHAnsi"/>
        </w:rPr>
        <w:br w:type="page"/>
      </w:r>
    </w:p>
    <w:p w:rsidR="00887CE9" w:rsidRPr="001C5934" w:rsidRDefault="003352B8" w:rsidP="003352B8">
      <w:pPr>
        <w:spacing w:after="0" w:line="240" w:lineRule="auto"/>
        <w:outlineLvl w:val="0"/>
        <w:rPr>
          <w:rFonts w:eastAsia="Times New Roman" w:cstheme="minorHAnsi"/>
          <w:b/>
          <w:bCs/>
          <w:kern w:val="36"/>
          <w:sz w:val="28"/>
          <w:lang w:eastAsia="fr-FR"/>
        </w:rPr>
      </w:pPr>
      <w:r w:rsidRPr="00170568">
        <w:rPr>
          <w:rFonts w:eastAsia="Times New Roman" w:cstheme="minorHAnsi"/>
          <w:b/>
          <w:bCs/>
          <w:kern w:val="36"/>
          <w:sz w:val="28"/>
          <w:lang w:eastAsia="fr-FR"/>
        </w:rPr>
        <w:lastRenderedPageBreak/>
        <w:t>Redo 6.</w:t>
      </w:r>
      <w:r w:rsidR="00887CE9" w:rsidRPr="001C5934">
        <w:rPr>
          <w:rFonts w:eastAsia="Times New Roman" w:cstheme="minorHAnsi"/>
          <w:b/>
          <w:bCs/>
          <w:kern w:val="36"/>
          <w:sz w:val="28"/>
          <w:lang w:eastAsia="fr-FR"/>
        </w:rPr>
        <w:t xml:space="preserve"> L'injonction de payer, une procédure de recouvrement de créances</w:t>
      </w:r>
    </w:p>
    <w:p w:rsidR="00887CE9" w:rsidRPr="001C5934" w:rsidRDefault="00887CE9" w:rsidP="004B5893">
      <w:pPr>
        <w:pStyle w:val="Titre2"/>
        <w:rPr>
          <w:rFonts w:asciiTheme="minorHAnsi" w:hAnsiTheme="minorHAnsi" w:cstheme="minorHAnsi"/>
          <w:sz w:val="24"/>
          <w:szCs w:val="24"/>
        </w:rPr>
      </w:pPr>
      <w:r w:rsidRPr="001C5934">
        <w:rPr>
          <w:rFonts w:asciiTheme="minorHAnsi" w:hAnsiTheme="minorHAnsi" w:cstheme="minorHAnsi"/>
          <w:sz w:val="24"/>
          <w:szCs w:val="24"/>
        </w:rPr>
        <w:t>Partie 1</w:t>
      </w:r>
      <w:r w:rsidR="004B5893" w:rsidRPr="001C5934">
        <w:rPr>
          <w:rFonts w:asciiTheme="minorHAnsi" w:hAnsiTheme="minorHAnsi" w:cstheme="minorHAnsi"/>
          <w:sz w:val="24"/>
          <w:szCs w:val="24"/>
        </w:rPr>
        <w:t xml:space="preserve"> </w:t>
      </w:r>
      <w:r w:rsidRPr="001C5934">
        <w:rPr>
          <w:rFonts w:asciiTheme="minorHAnsi" w:hAnsiTheme="minorHAnsi" w:cstheme="minorHAnsi"/>
          <w:sz w:val="24"/>
          <w:szCs w:val="24"/>
        </w:rPr>
        <w:t>Préalables à la demande d'injonction de payer</w:t>
      </w:r>
    </w:p>
    <w:p w:rsidR="00887CE9" w:rsidRPr="00170568" w:rsidRDefault="00887CE9" w:rsidP="00D43B63">
      <w:pPr>
        <w:pStyle w:val="NormalWeb"/>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Le lancement de la procédure d'injonction de payer par le créancier, demandeur, présuppose que la créance soit incontestable, au moins en apparence.</w:t>
      </w:r>
    </w:p>
    <w:p w:rsidR="004B5893" w:rsidRPr="001C5934" w:rsidRDefault="004B5893" w:rsidP="00D43B63">
      <w:pPr>
        <w:pStyle w:val="NormalWeb"/>
        <w:spacing w:before="0" w:beforeAutospacing="0" w:after="0" w:afterAutospacing="0"/>
        <w:jc w:val="both"/>
        <w:rPr>
          <w:rFonts w:asciiTheme="minorHAnsi" w:hAnsiTheme="minorHAnsi" w:cstheme="minorHAnsi"/>
          <w:sz w:val="22"/>
          <w:szCs w:val="22"/>
        </w:rPr>
      </w:pPr>
    </w:p>
    <w:p w:rsidR="00D43B63" w:rsidRPr="00170568" w:rsidRDefault="00887CE9" w:rsidP="004B5893">
      <w:pPr>
        <w:pStyle w:val="NormalWeb"/>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 xml:space="preserve">À côté de la procédure européenne d'injonction de payer applicable au recouvrement des créances transfrontalières dans l'espace européen, il existe une </w:t>
      </w:r>
      <w:r w:rsidRPr="001C5934">
        <w:rPr>
          <w:rFonts w:asciiTheme="minorHAnsi" w:hAnsiTheme="minorHAnsi" w:cstheme="minorHAnsi"/>
          <w:b/>
          <w:sz w:val="22"/>
          <w:szCs w:val="22"/>
        </w:rPr>
        <w:t>procédure française d'injonction de payer</w:t>
      </w:r>
      <w:r w:rsidRPr="00170568">
        <w:rPr>
          <w:rFonts w:asciiTheme="minorHAnsi" w:hAnsiTheme="minorHAnsi" w:cstheme="minorHAnsi"/>
          <w:sz w:val="22"/>
          <w:szCs w:val="22"/>
        </w:rPr>
        <w:t xml:space="preserve"> réservée aux seuls litiges nationaux.</w:t>
      </w:r>
    </w:p>
    <w:p w:rsidR="00D43B63" w:rsidRPr="00170568" w:rsidRDefault="00887CE9" w:rsidP="004B5893">
      <w:pPr>
        <w:pStyle w:val="NormalWeb"/>
        <w:spacing w:after="0" w:afterAutospacing="0"/>
        <w:jc w:val="both"/>
        <w:rPr>
          <w:rFonts w:asciiTheme="minorHAnsi" w:hAnsiTheme="minorHAnsi" w:cstheme="minorHAnsi"/>
          <w:sz w:val="22"/>
          <w:szCs w:val="22"/>
        </w:rPr>
      </w:pPr>
      <w:r w:rsidRPr="00170568">
        <w:rPr>
          <w:rFonts w:asciiTheme="minorHAnsi" w:hAnsiTheme="minorHAnsi" w:cstheme="minorHAnsi"/>
          <w:sz w:val="22"/>
          <w:szCs w:val="22"/>
        </w:rPr>
        <w:t xml:space="preserve">Cette dernière vise, par un </w:t>
      </w:r>
      <w:r w:rsidRPr="00170568">
        <w:rPr>
          <w:rStyle w:val="lev"/>
          <w:rFonts w:asciiTheme="minorHAnsi" w:hAnsiTheme="minorHAnsi" w:cstheme="minorHAnsi"/>
          <w:sz w:val="22"/>
          <w:szCs w:val="22"/>
        </w:rPr>
        <w:t>formalisme judiciaire simplifié et à moindre coût,</w:t>
      </w:r>
      <w:r w:rsidRPr="00170568">
        <w:rPr>
          <w:rFonts w:asciiTheme="minorHAnsi" w:hAnsiTheme="minorHAnsi" w:cstheme="minorHAnsi"/>
          <w:sz w:val="22"/>
          <w:szCs w:val="22"/>
        </w:rPr>
        <w:t xml:space="preserve"> à permettre au créancier d'une somme d'argent de </w:t>
      </w:r>
      <w:r w:rsidRPr="00170568">
        <w:rPr>
          <w:rStyle w:val="lev"/>
          <w:rFonts w:asciiTheme="minorHAnsi" w:hAnsiTheme="minorHAnsi" w:cstheme="minorHAnsi"/>
          <w:sz w:val="22"/>
          <w:szCs w:val="22"/>
        </w:rPr>
        <w:t>contraindre son débiteur à payer son dû, de manière unilatérale et rapide</w:t>
      </w:r>
      <w:r w:rsidRPr="00170568">
        <w:rPr>
          <w:rFonts w:asciiTheme="minorHAnsi" w:hAnsiTheme="minorHAnsi" w:cstheme="minorHAnsi"/>
          <w:sz w:val="22"/>
          <w:szCs w:val="22"/>
        </w:rPr>
        <w:t xml:space="preserve"> (en moyenne, en moins de deux mois).</w:t>
      </w:r>
      <w:r w:rsidR="00D43B63" w:rsidRPr="00170568">
        <w:rPr>
          <w:rFonts w:asciiTheme="minorHAnsi" w:hAnsiTheme="minorHAnsi" w:cstheme="minorHAnsi"/>
          <w:sz w:val="22"/>
          <w:szCs w:val="22"/>
        </w:rPr>
        <w:t xml:space="preserve"> […]</w:t>
      </w:r>
    </w:p>
    <w:p w:rsidR="004B5893" w:rsidRPr="001C5934" w:rsidRDefault="004B5893" w:rsidP="004B5893">
      <w:pPr>
        <w:pStyle w:val="NormalWeb"/>
        <w:spacing w:before="0" w:beforeAutospacing="0" w:after="0" w:afterAutospacing="0"/>
        <w:jc w:val="both"/>
        <w:rPr>
          <w:rFonts w:asciiTheme="minorHAnsi" w:hAnsiTheme="minorHAnsi" w:cstheme="minorHAnsi"/>
          <w:sz w:val="22"/>
          <w:szCs w:val="22"/>
        </w:rPr>
      </w:pPr>
    </w:p>
    <w:p w:rsidR="00887CE9" w:rsidRPr="00170568" w:rsidRDefault="00887CE9" w:rsidP="00887CE9">
      <w:pPr>
        <w:pStyle w:val="Titre4"/>
        <w:rPr>
          <w:rFonts w:asciiTheme="minorHAnsi" w:hAnsiTheme="minorHAnsi" w:cstheme="minorHAnsi"/>
        </w:rPr>
      </w:pPr>
      <w:r w:rsidRPr="00170568">
        <w:rPr>
          <w:rFonts w:asciiTheme="minorHAnsi" w:hAnsiTheme="minorHAnsi" w:cstheme="minorHAnsi"/>
        </w:rPr>
        <w:t>Une créance juridiquement fondée et justifiée</w:t>
      </w:r>
    </w:p>
    <w:p w:rsidR="00887CE9" w:rsidRPr="00170568" w:rsidRDefault="00887CE9" w:rsidP="004B5893">
      <w:pPr>
        <w:pStyle w:val="NormalWeb"/>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La procédure d'injonction de payer peut être utilisée pour obtenir le paiement d'une créance si le débiteur refuse de payer et alors qu'il peut être concrètement prouvé que</w:t>
      </w:r>
      <w:r w:rsidRPr="00170568">
        <w:rPr>
          <w:rStyle w:val="lev"/>
          <w:rFonts w:asciiTheme="minorHAnsi" w:hAnsiTheme="minorHAnsi" w:cstheme="minorHAnsi"/>
          <w:sz w:val="22"/>
          <w:szCs w:val="22"/>
        </w:rPr>
        <w:t xml:space="preserve"> la créance est certaine </w:t>
      </w:r>
      <w:r w:rsidRPr="00170568">
        <w:rPr>
          <w:rFonts w:asciiTheme="minorHAnsi" w:hAnsiTheme="minorHAnsi" w:cstheme="minorHAnsi"/>
          <w:sz w:val="22"/>
          <w:szCs w:val="22"/>
        </w:rPr>
        <w:t xml:space="preserve">(dont l'existence actuelle est incontestable sur le fond), </w:t>
      </w:r>
      <w:r w:rsidRPr="00170568">
        <w:rPr>
          <w:rStyle w:val="lev"/>
          <w:rFonts w:asciiTheme="minorHAnsi" w:hAnsiTheme="minorHAnsi" w:cstheme="minorHAnsi"/>
          <w:sz w:val="22"/>
          <w:szCs w:val="22"/>
        </w:rPr>
        <w:t xml:space="preserve">liquide </w:t>
      </w:r>
      <w:r w:rsidRPr="00170568">
        <w:rPr>
          <w:rFonts w:asciiTheme="minorHAnsi" w:hAnsiTheme="minorHAnsi" w:cstheme="minorHAnsi"/>
          <w:sz w:val="22"/>
          <w:szCs w:val="22"/>
        </w:rPr>
        <w:t xml:space="preserve">(dont le montant est déterminé) </w:t>
      </w:r>
      <w:r w:rsidRPr="00170568">
        <w:rPr>
          <w:rStyle w:val="lev"/>
          <w:rFonts w:asciiTheme="minorHAnsi" w:hAnsiTheme="minorHAnsi" w:cstheme="minorHAnsi"/>
          <w:sz w:val="22"/>
          <w:szCs w:val="22"/>
        </w:rPr>
        <w:t xml:space="preserve">et exigible </w:t>
      </w:r>
      <w:r w:rsidRPr="00170568">
        <w:rPr>
          <w:rFonts w:asciiTheme="minorHAnsi" w:hAnsiTheme="minorHAnsi" w:cstheme="minorHAnsi"/>
          <w:sz w:val="22"/>
          <w:szCs w:val="22"/>
        </w:rPr>
        <w:t>(dont la date de paiement est échue). Inversement, toute créance susceptible de se heurter à une contestation sérieuse est exclue de cette procédure, c'est-à-dire toute créance dont il peut être déjà établi qu'elle est privée de l'un au moins de ces trois critères, ainsi que toute créance litigieuse (autrement dit en cours de contestation judiciaire).</w:t>
      </w:r>
    </w:p>
    <w:p w:rsidR="004B5893" w:rsidRPr="001C5934" w:rsidRDefault="004B5893" w:rsidP="004B5893">
      <w:pPr>
        <w:pStyle w:val="NormalWeb"/>
        <w:spacing w:before="0" w:beforeAutospacing="0" w:after="0" w:afterAutospacing="0"/>
        <w:jc w:val="both"/>
        <w:rPr>
          <w:rFonts w:asciiTheme="minorHAnsi" w:hAnsiTheme="minorHAnsi" w:cstheme="minorHAnsi"/>
          <w:sz w:val="22"/>
          <w:szCs w:val="22"/>
        </w:rPr>
      </w:pPr>
    </w:p>
    <w:p w:rsidR="00887CE9" w:rsidRPr="00170568" w:rsidRDefault="00887CE9" w:rsidP="00887CE9">
      <w:pPr>
        <w:pStyle w:val="Titre4"/>
        <w:rPr>
          <w:rFonts w:asciiTheme="minorHAnsi" w:hAnsiTheme="minorHAnsi" w:cstheme="minorHAnsi"/>
        </w:rPr>
      </w:pPr>
      <w:r w:rsidRPr="00170568">
        <w:rPr>
          <w:rFonts w:asciiTheme="minorHAnsi" w:hAnsiTheme="minorHAnsi" w:cstheme="minorHAnsi"/>
        </w:rPr>
        <w:t>Une créance admissible à la procédure d'injonction de payer</w:t>
      </w:r>
    </w:p>
    <w:p w:rsidR="00887CE9" w:rsidRPr="00170568" w:rsidRDefault="00887CE9" w:rsidP="001C5934">
      <w:pPr>
        <w:pStyle w:val="NormalWeb"/>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La procédure d'injonction de payer peut être employée pour</w:t>
      </w:r>
      <w:r w:rsidRPr="00170568">
        <w:rPr>
          <w:rStyle w:val="lev"/>
          <w:rFonts w:asciiTheme="minorHAnsi" w:hAnsiTheme="minorHAnsi" w:cstheme="minorHAnsi"/>
          <w:sz w:val="22"/>
          <w:szCs w:val="22"/>
        </w:rPr>
        <w:t xml:space="preserve"> toute créance de nature civile ou commerciale, quel que soit son montant</w:t>
      </w:r>
      <w:r w:rsidRPr="00170568">
        <w:rPr>
          <w:rFonts w:asciiTheme="minorHAnsi" w:hAnsiTheme="minorHAnsi" w:cstheme="minorHAnsi"/>
          <w:sz w:val="22"/>
          <w:szCs w:val="22"/>
        </w:rPr>
        <w:t>, et procédant de l'une des principales sources suivantes :</w:t>
      </w:r>
    </w:p>
    <w:p w:rsidR="00170568" w:rsidRPr="00170568" w:rsidRDefault="00887CE9" w:rsidP="001C5934">
      <w:pPr>
        <w:numPr>
          <w:ilvl w:val="0"/>
          <w:numId w:val="4"/>
        </w:numPr>
        <w:tabs>
          <w:tab w:val="clear" w:pos="720"/>
        </w:tabs>
        <w:spacing w:after="100" w:afterAutospacing="1" w:line="240" w:lineRule="auto"/>
        <w:ind w:left="567"/>
        <w:jc w:val="both"/>
        <w:rPr>
          <w:rFonts w:cstheme="minorHAnsi"/>
        </w:rPr>
      </w:pPr>
      <w:r w:rsidRPr="00170568">
        <w:rPr>
          <w:rFonts w:cstheme="minorHAnsi"/>
        </w:rPr>
        <w:t>un contrat civil ou commercial (par exemple, un contrat de vente, de crédit, de bail) ; une obligation de type statutaire (par exemple, des cotisations dues à une caisse de retraite ; une créance en matière de copropriété) ; une reconnaissance de dette ;</w:t>
      </w:r>
    </w:p>
    <w:p w:rsidR="00887CE9" w:rsidRPr="00170568" w:rsidRDefault="00887CE9" w:rsidP="001C5934">
      <w:pPr>
        <w:numPr>
          <w:ilvl w:val="0"/>
          <w:numId w:val="4"/>
        </w:numPr>
        <w:tabs>
          <w:tab w:val="clear" w:pos="720"/>
        </w:tabs>
        <w:spacing w:after="100" w:afterAutospacing="1" w:line="240" w:lineRule="auto"/>
        <w:ind w:left="567"/>
        <w:jc w:val="both"/>
        <w:rPr>
          <w:rFonts w:cstheme="minorHAnsi"/>
        </w:rPr>
      </w:pPr>
      <w:r w:rsidRPr="00170568">
        <w:rPr>
          <w:rFonts w:cstheme="minorHAnsi"/>
        </w:rPr>
        <w:t>les engagements résultant de l'acceptation ou du tirage d'une lettre de change ; de la souscription d'un billet à ordre ou de l'endossement ou de l'aval de l'un ou de l'autre de ces titres ;</w:t>
      </w:r>
    </w:p>
    <w:p w:rsidR="004B5893" w:rsidRPr="00170568" w:rsidRDefault="00887CE9" w:rsidP="001C5934">
      <w:pPr>
        <w:numPr>
          <w:ilvl w:val="0"/>
          <w:numId w:val="4"/>
        </w:numPr>
        <w:tabs>
          <w:tab w:val="clear" w:pos="720"/>
        </w:tabs>
        <w:spacing w:before="100" w:beforeAutospacing="1" w:after="0" w:line="240" w:lineRule="auto"/>
        <w:ind w:left="567"/>
        <w:jc w:val="both"/>
        <w:rPr>
          <w:rFonts w:cstheme="minorHAnsi"/>
        </w:rPr>
      </w:pPr>
      <w:r w:rsidRPr="00170568">
        <w:rPr>
          <w:rFonts w:cstheme="minorHAnsi"/>
        </w:rPr>
        <w:t>l'acceptation d'un bordereau DAILLY de cession de créances professionnelles, c'est-à-dire un titre facilitant le crédit aux entreprises en leur permettant de céder leurs créances et leurs garanties à un établissement de crédit qui leur en verse immédiatement le prix.</w:t>
      </w:r>
      <w:r w:rsidR="00D43B63" w:rsidRPr="00170568">
        <w:rPr>
          <w:rFonts w:cstheme="minorHAnsi"/>
        </w:rPr>
        <w:t xml:space="preserve"> […]</w:t>
      </w:r>
    </w:p>
    <w:p w:rsidR="004B5893" w:rsidRPr="001C5934" w:rsidRDefault="004B5893" w:rsidP="004B5893">
      <w:pPr>
        <w:spacing w:after="0" w:line="240" w:lineRule="auto"/>
        <w:ind w:left="567"/>
        <w:rPr>
          <w:rFonts w:cstheme="minorHAnsi"/>
        </w:rPr>
      </w:pPr>
    </w:p>
    <w:p w:rsidR="00887CE9" w:rsidRPr="00170568" w:rsidRDefault="00887CE9" w:rsidP="00D43B63">
      <w:pPr>
        <w:pStyle w:val="Titre4"/>
        <w:rPr>
          <w:rFonts w:asciiTheme="minorHAnsi" w:hAnsiTheme="minorHAnsi" w:cstheme="minorHAnsi"/>
        </w:rPr>
      </w:pPr>
      <w:r w:rsidRPr="00170568">
        <w:rPr>
          <w:rFonts w:asciiTheme="minorHAnsi" w:hAnsiTheme="minorHAnsi" w:cstheme="minorHAnsi"/>
        </w:rPr>
        <w:t> Un débiteur en situation d'être poursuivi utilement</w:t>
      </w:r>
    </w:p>
    <w:p w:rsidR="00D43B63" w:rsidRPr="00170568" w:rsidRDefault="00887CE9" w:rsidP="004B5893">
      <w:pPr>
        <w:pStyle w:val="NormalWeb"/>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 xml:space="preserve">Le débiteur doit être </w:t>
      </w:r>
      <w:r w:rsidRPr="00170568">
        <w:rPr>
          <w:rStyle w:val="lev"/>
          <w:rFonts w:asciiTheme="minorHAnsi" w:hAnsiTheme="minorHAnsi" w:cstheme="minorHAnsi"/>
          <w:sz w:val="22"/>
          <w:szCs w:val="22"/>
        </w:rPr>
        <w:t>une personne de droit privé</w:t>
      </w:r>
      <w:r w:rsidRPr="00170568">
        <w:rPr>
          <w:rFonts w:asciiTheme="minorHAnsi" w:hAnsiTheme="minorHAnsi" w:cstheme="minorHAnsi"/>
          <w:sz w:val="22"/>
          <w:szCs w:val="22"/>
        </w:rPr>
        <w:t xml:space="preserve">, physique ou morale, autrement dit une entreprise individuelle ou, par exemple, une société, un GIE, une coopérative, une association. </w:t>
      </w:r>
      <w:r w:rsidR="00D43B63" w:rsidRPr="00170568">
        <w:rPr>
          <w:rFonts w:asciiTheme="minorHAnsi" w:hAnsiTheme="minorHAnsi" w:cstheme="minorHAnsi"/>
          <w:sz w:val="22"/>
          <w:szCs w:val="22"/>
        </w:rPr>
        <w:t xml:space="preserve">[…] </w:t>
      </w:r>
      <w:r w:rsidRPr="00170568">
        <w:rPr>
          <w:rFonts w:asciiTheme="minorHAnsi" w:hAnsiTheme="minorHAnsi" w:cstheme="minorHAnsi"/>
          <w:sz w:val="22"/>
          <w:szCs w:val="22"/>
        </w:rPr>
        <w:t xml:space="preserve">Par ailleurs, le débiteur doit avoir </w:t>
      </w:r>
      <w:r w:rsidRPr="00170568">
        <w:rPr>
          <w:rStyle w:val="lev"/>
          <w:rFonts w:asciiTheme="minorHAnsi" w:hAnsiTheme="minorHAnsi" w:cstheme="minorHAnsi"/>
          <w:sz w:val="22"/>
          <w:szCs w:val="22"/>
        </w:rPr>
        <w:t>en France</w:t>
      </w:r>
      <w:r w:rsidRPr="00170568">
        <w:rPr>
          <w:rFonts w:asciiTheme="minorHAnsi" w:hAnsiTheme="minorHAnsi" w:cstheme="minorHAnsi"/>
          <w:sz w:val="22"/>
          <w:szCs w:val="22"/>
        </w:rPr>
        <w:t xml:space="preserve"> une résidence ou l'un de ses établissements. Pour un débiteur domicilié à l'étranger, il suffit qu'il détienne en France, par exemple, un appartement ou un bureau. Dans le cas contraire, il existe une procédure dite d'injonction de payer européenne.</w:t>
      </w:r>
    </w:p>
    <w:p w:rsidR="00887CE9" w:rsidRPr="00170568" w:rsidRDefault="00887CE9" w:rsidP="00D43B63">
      <w:pPr>
        <w:pStyle w:val="NormalWeb"/>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Enfin, afin d'éviter de lancer inutilement une procédure d'injonction de payer et donc préalablement à toute demande en ce sens :</w:t>
      </w:r>
    </w:p>
    <w:p w:rsidR="00887CE9" w:rsidRPr="00170568" w:rsidRDefault="00887CE9" w:rsidP="00D43B63">
      <w:pPr>
        <w:numPr>
          <w:ilvl w:val="0"/>
          <w:numId w:val="6"/>
        </w:numPr>
        <w:tabs>
          <w:tab w:val="clear" w:pos="720"/>
        </w:tabs>
        <w:spacing w:after="100" w:afterAutospacing="1" w:line="240" w:lineRule="auto"/>
        <w:ind w:left="567"/>
        <w:jc w:val="both"/>
        <w:rPr>
          <w:rFonts w:cstheme="minorHAnsi"/>
        </w:rPr>
      </w:pPr>
      <w:r w:rsidRPr="00170568">
        <w:rPr>
          <w:rFonts w:cstheme="minorHAnsi"/>
        </w:rPr>
        <w:t xml:space="preserve">Bien que cela ne soit pas obligatoire, il est recommandé au créancier d'envoyer (par lettre recommandée avec avis de réception ou par exploit d'huissier) au débiteur </w:t>
      </w:r>
      <w:r w:rsidRPr="00170568">
        <w:rPr>
          <w:rStyle w:val="lev"/>
          <w:rFonts w:cstheme="minorHAnsi"/>
        </w:rPr>
        <w:t>une mise en demeure d'avoir à exécuter son obligation dans un délai précis</w:t>
      </w:r>
      <w:r w:rsidRPr="00170568">
        <w:rPr>
          <w:rFonts w:cstheme="minorHAnsi"/>
        </w:rPr>
        <w:t xml:space="preserve">. En effet, la teneur de la réponse ou le défaut de réponse à cette mise en demeure permet, en général, au créancier de s'assurer clairement des intentions du débiteur et, partant, de prouver que le créancier a bien accompli toutes les démarches nécessaires pour rentrer dans ses fonds. En outre, lorsqu'elle est infructueuse, la mise en </w:t>
      </w:r>
      <w:r w:rsidR="000E0832" w:rsidRPr="00170568">
        <w:rPr>
          <w:rFonts w:cstheme="minorHAnsi"/>
        </w:rPr>
        <w:t>demeure fait</w:t>
      </w:r>
      <w:r w:rsidRPr="00170568">
        <w:rPr>
          <w:rFonts w:cstheme="minorHAnsi"/>
        </w:rPr>
        <w:t xml:space="preserve"> courir les intérêts de retard.</w:t>
      </w:r>
    </w:p>
    <w:p w:rsidR="00887CE9" w:rsidRPr="00170568" w:rsidRDefault="00887CE9" w:rsidP="00D43B63">
      <w:pPr>
        <w:numPr>
          <w:ilvl w:val="0"/>
          <w:numId w:val="6"/>
        </w:numPr>
        <w:tabs>
          <w:tab w:val="clear" w:pos="720"/>
        </w:tabs>
        <w:spacing w:before="100" w:beforeAutospacing="1" w:after="100" w:afterAutospacing="1" w:line="240" w:lineRule="auto"/>
        <w:ind w:left="567"/>
        <w:jc w:val="both"/>
        <w:rPr>
          <w:rFonts w:cstheme="minorHAnsi"/>
        </w:rPr>
      </w:pPr>
      <w:r w:rsidRPr="00170568">
        <w:rPr>
          <w:rFonts w:cstheme="minorHAnsi"/>
        </w:rPr>
        <w:t>Si le débiteur est immatriculé au RCS, il est recommandé au créancier de</w:t>
      </w:r>
      <w:r w:rsidRPr="00170568">
        <w:rPr>
          <w:rStyle w:val="lev"/>
          <w:rFonts w:cstheme="minorHAnsi"/>
        </w:rPr>
        <w:t xml:space="preserve"> vérifier au greffe du Tribunal de commerce concerné si le débiteur fait déjà l'objet d'une procédure collective</w:t>
      </w:r>
      <w:r w:rsidRPr="00170568">
        <w:rPr>
          <w:rFonts w:cstheme="minorHAnsi"/>
        </w:rPr>
        <w:t xml:space="preserve">, principalement </w:t>
      </w:r>
      <w:r w:rsidRPr="00170568">
        <w:rPr>
          <w:rFonts w:cstheme="minorHAnsi"/>
        </w:rPr>
        <w:lastRenderedPageBreak/>
        <w:t>de redressement judiciaire ou de liquidation judiciaire. Il convient de rappeler que ces procédures ont pour effet de bloquer les poursuites individuelles des créanciers contre le débiteur et de les soumettre à la déclaration des créances nées antérieurement au jugement d'ouverture desdites procédures.</w:t>
      </w:r>
    </w:p>
    <w:p w:rsidR="00D43B63" w:rsidRPr="001C5934" w:rsidRDefault="00D43B63">
      <w:pPr>
        <w:pStyle w:val="Titre2"/>
        <w:rPr>
          <w:rFonts w:asciiTheme="minorHAnsi" w:hAnsiTheme="minorHAnsi" w:cstheme="minorHAnsi"/>
          <w:sz w:val="24"/>
          <w:szCs w:val="24"/>
        </w:rPr>
      </w:pPr>
      <w:r w:rsidRPr="001C5934">
        <w:rPr>
          <w:rFonts w:asciiTheme="minorHAnsi" w:hAnsiTheme="minorHAnsi" w:cstheme="minorHAnsi"/>
          <w:sz w:val="24"/>
          <w:szCs w:val="24"/>
        </w:rPr>
        <w:t>Partie 2 La demande d'injonction de payer</w:t>
      </w:r>
    </w:p>
    <w:p w:rsidR="00D43B63" w:rsidRPr="00170568" w:rsidRDefault="00D43B63" w:rsidP="00D43B63">
      <w:pPr>
        <w:pStyle w:val="NormalWeb"/>
        <w:spacing w:before="0" w:beforeAutospacing="0" w:after="0" w:afterAutospacing="0"/>
        <w:rPr>
          <w:rFonts w:asciiTheme="minorHAnsi" w:hAnsiTheme="minorHAnsi" w:cstheme="minorHAnsi"/>
          <w:sz w:val="22"/>
          <w:szCs w:val="22"/>
        </w:rPr>
      </w:pPr>
      <w:r w:rsidRPr="00170568">
        <w:rPr>
          <w:rFonts w:asciiTheme="minorHAnsi" w:hAnsiTheme="minorHAnsi" w:cstheme="minorHAnsi"/>
          <w:sz w:val="22"/>
          <w:szCs w:val="22"/>
        </w:rPr>
        <w:t>La requête est l'élément déclencheur et central de la procédure d'injonction de payer. Elle doit donc être soigneusement renseignée et documentée avant d'être communiquée au tribunal compétent.</w:t>
      </w:r>
    </w:p>
    <w:p w:rsidR="00D43B63" w:rsidRPr="00170568" w:rsidRDefault="00D43B63" w:rsidP="00D43B63">
      <w:pPr>
        <w:pStyle w:val="Titre4"/>
        <w:spacing w:before="0" w:line="240" w:lineRule="auto"/>
        <w:rPr>
          <w:rFonts w:asciiTheme="minorHAnsi" w:hAnsiTheme="minorHAnsi" w:cstheme="minorHAnsi"/>
        </w:rPr>
      </w:pPr>
      <w:r w:rsidRPr="00170568">
        <w:rPr>
          <w:rFonts w:asciiTheme="minorHAnsi" w:hAnsiTheme="minorHAnsi" w:cstheme="minorHAnsi"/>
        </w:rPr>
        <w:t>Tribunal compétent pour recevoir la demande</w:t>
      </w:r>
    </w:p>
    <w:p w:rsidR="00D43B63" w:rsidRPr="00170568" w:rsidRDefault="00D43B63" w:rsidP="004B5893">
      <w:pPr>
        <w:pStyle w:val="NormalWeb"/>
        <w:spacing w:before="0" w:beforeAutospacing="0" w:after="0" w:afterAutospacing="0"/>
        <w:rPr>
          <w:rFonts w:asciiTheme="minorHAnsi" w:hAnsiTheme="minorHAnsi" w:cstheme="minorHAnsi"/>
          <w:sz w:val="22"/>
          <w:szCs w:val="22"/>
        </w:rPr>
      </w:pPr>
      <w:r w:rsidRPr="00170568">
        <w:rPr>
          <w:rStyle w:val="lev"/>
          <w:rFonts w:asciiTheme="minorHAnsi" w:hAnsiTheme="minorHAnsi" w:cstheme="minorHAnsi"/>
          <w:sz w:val="22"/>
          <w:szCs w:val="22"/>
        </w:rPr>
        <w:t>Géographiquement :</w:t>
      </w:r>
      <w:r w:rsidRPr="00170568">
        <w:rPr>
          <w:rFonts w:asciiTheme="minorHAnsi" w:hAnsiTheme="minorHAnsi" w:cstheme="minorHAnsi"/>
          <w:sz w:val="22"/>
          <w:szCs w:val="22"/>
        </w:rPr>
        <w:t xml:space="preserve"> Sauf cas particulier (par exemple, en matière d'impayés de charges de copropriété où le tribunal compétent est celui du lieu où est situé l'immeuble), la demande doit parvenir au greffe du tribunal dans le ressort duquel le débiteur (ou l'un d'entre eux, s'il y en a plusieurs) a une résidence, pour une personne physique, ou l'un de ses établissements, pour une personne morale. […]</w:t>
      </w:r>
    </w:p>
    <w:p w:rsidR="004B5893" w:rsidRPr="001C5934" w:rsidRDefault="004B5893" w:rsidP="004B5893">
      <w:pPr>
        <w:pStyle w:val="NormalWeb"/>
        <w:spacing w:before="0" w:beforeAutospacing="0" w:after="0" w:afterAutospacing="0"/>
        <w:rPr>
          <w:rFonts w:asciiTheme="minorHAnsi" w:hAnsiTheme="minorHAnsi" w:cstheme="minorHAnsi"/>
          <w:sz w:val="22"/>
          <w:szCs w:val="22"/>
        </w:rPr>
      </w:pPr>
    </w:p>
    <w:p w:rsidR="00D43B63" w:rsidRPr="00170568" w:rsidRDefault="00D43B63" w:rsidP="00D43B63">
      <w:pPr>
        <w:pStyle w:val="Titre4"/>
        <w:spacing w:before="0" w:line="240" w:lineRule="auto"/>
        <w:rPr>
          <w:rFonts w:asciiTheme="minorHAnsi" w:hAnsiTheme="minorHAnsi" w:cstheme="minorHAnsi"/>
        </w:rPr>
      </w:pPr>
      <w:r w:rsidRPr="00170568">
        <w:rPr>
          <w:rFonts w:asciiTheme="minorHAnsi" w:hAnsiTheme="minorHAnsi" w:cstheme="minorHAnsi"/>
        </w:rPr>
        <w:t>Comment saisir le tribunal de la demande ?</w:t>
      </w:r>
    </w:p>
    <w:p w:rsidR="000E0832" w:rsidRDefault="00D43B63" w:rsidP="001C5934">
      <w:pPr>
        <w:pStyle w:val="NormalWeb"/>
        <w:spacing w:before="0" w:beforeAutospacing="0" w:afterAutospacing="0"/>
        <w:jc w:val="both"/>
        <w:rPr>
          <w:rStyle w:val="lev"/>
          <w:rFonts w:asciiTheme="minorHAnsi" w:eastAsiaTheme="majorEastAsia" w:hAnsiTheme="minorHAnsi" w:cstheme="minorHAnsi"/>
          <w:i/>
          <w:iCs/>
          <w:color w:val="2F5496" w:themeColor="accent1" w:themeShade="BF"/>
          <w:sz w:val="22"/>
          <w:szCs w:val="22"/>
          <w:lang w:eastAsia="en-US"/>
        </w:rPr>
      </w:pPr>
      <w:r w:rsidRPr="00170568">
        <w:rPr>
          <w:rStyle w:val="lev"/>
          <w:rFonts w:asciiTheme="minorHAnsi" w:hAnsiTheme="minorHAnsi" w:cstheme="minorHAnsi"/>
          <w:sz w:val="22"/>
          <w:szCs w:val="22"/>
        </w:rPr>
        <w:t>La requête, support de la demande d'injonction de payer</w:t>
      </w:r>
      <w:r w:rsidR="000E0832">
        <w:rPr>
          <w:rStyle w:val="lev"/>
          <w:rFonts w:asciiTheme="minorHAnsi" w:hAnsiTheme="minorHAnsi" w:cstheme="minorHAnsi"/>
          <w:sz w:val="22"/>
          <w:szCs w:val="22"/>
        </w:rPr>
        <w:t>.</w:t>
      </w:r>
    </w:p>
    <w:p w:rsidR="00D43B63" w:rsidRPr="00170568" w:rsidRDefault="00D43B63" w:rsidP="001C5934">
      <w:pPr>
        <w:pStyle w:val="NormalWeb"/>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La demande consiste en une requête écrite. Elle peut être établie sur papier libre ou à l'aide de l'un des formulaires suivants, spécifique au tribunal à saisir :</w:t>
      </w:r>
    </w:p>
    <w:p w:rsidR="00D43B63" w:rsidRPr="00170568" w:rsidRDefault="00D43B63" w:rsidP="001C5934">
      <w:pPr>
        <w:pStyle w:val="NormalWeb"/>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 l'imprimé Cerfa n° 12946*01 pour le président du Tribunal de commerce. […]</w:t>
      </w:r>
    </w:p>
    <w:p w:rsidR="004B5893" w:rsidRPr="001C5934" w:rsidRDefault="004B5893">
      <w:pPr>
        <w:pStyle w:val="NormalWeb"/>
        <w:spacing w:before="0" w:beforeAutospacing="0" w:after="0" w:afterAutospacing="0"/>
        <w:jc w:val="both"/>
        <w:rPr>
          <w:rFonts w:asciiTheme="minorHAnsi" w:hAnsiTheme="minorHAnsi" w:cstheme="minorHAnsi"/>
          <w:sz w:val="22"/>
          <w:szCs w:val="22"/>
        </w:rPr>
      </w:pPr>
    </w:p>
    <w:p w:rsidR="00D43B63" w:rsidRPr="00170568" w:rsidRDefault="00D43B63">
      <w:pPr>
        <w:pStyle w:val="NormalWeb"/>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Dans tous les cas, la requête est établie, datée et signée directement par le créancier ou par un mandataire librement choisi, avocat, huissier ou toute autre personne, cette dernière devant être munie d'un pouvoir spécial.</w:t>
      </w:r>
    </w:p>
    <w:p w:rsidR="000E0832" w:rsidRDefault="000E0832" w:rsidP="000E0832">
      <w:pPr>
        <w:pStyle w:val="NormalWeb"/>
        <w:spacing w:before="0" w:beforeAutospacing="0" w:after="0" w:afterAutospacing="0"/>
        <w:jc w:val="both"/>
        <w:rPr>
          <w:rFonts w:asciiTheme="minorHAnsi" w:hAnsiTheme="minorHAnsi" w:cstheme="minorHAnsi"/>
          <w:sz w:val="22"/>
          <w:szCs w:val="22"/>
        </w:rPr>
      </w:pPr>
    </w:p>
    <w:p w:rsidR="000E0832" w:rsidRDefault="00D43B63" w:rsidP="001C5934">
      <w:pPr>
        <w:pStyle w:val="NormalWeb"/>
        <w:spacing w:before="0" w:beforeAutospacing="0" w:afterAutospacing="0"/>
        <w:jc w:val="both"/>
        <w:rPr>
          <w:rStyle w:val="lev"/>
          <w:rFonts w:asciiTheme="minorHAnsi" w:hAnsiTheme="minorHAnsi" w:cstheme="minorHAnsi"/>
          <w:sz w:val="22"/>
          <w:szCs w:val="22"/>
        </w:rPr>
      </w:pPr>
      <w:r w:rsidRPr="00170568">
        <w:rPr>
          <w:rStyle w:val="lev"/>
          <w:rFonts w:asciiTheme="minorHAnsi" w:hAnsiTheme="minorHAnsi" w:cstheme="minorHAnsi"/>
          <w:sz w:val="22"/>
          <w:szCs w:val="22"/>
        </w:rPr>
        <w:t>Contenu de la requête et de ses annexes</w:t>
      </w:r>
    </w:p>
    <w:p w:rsidR="000E0832" w:rsidRDefault="00D43B63" w:rsidP="001C5934">
      <w:pPr>
        <w:pStyle w:val="NormalWeb"/>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La requête doit être soigneusement renseignée et documentée. La décision judiciaire qui en résulte, est, en effet, rendue au seul examen de la requête et des pièces justificatives et, donc, sans que le juge ait préalablement entendu le créancier et le débiteur.</w:t>
      </w:r>
    </w:p>
    <w:p w:rsidR="00D43B63" w:rsidRPr="00170568" w:rsidRDefault="00D43B63" w:rsidP="001C5934">
      <w:pPr>
        <w:pStyle w:val="NormalWeb"/>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 xml:space="preserve">S'agissant des </w:t>
      </w:r>
      <w:r w:rsidRPr="00170568">
        <w:rPr>
          <w:rStyle w:val="lev"/>
          <w:rFonts w:asciiTheme="minorHAnsi" w:hAnsiTheme="minorHAnsi" w:cstheme="minorHAnsi"/>
          <w:sz w:val="22"/>
          <w:szCs w:val="22"/>
        </w:rPr>
        <w:t>informations relatives aux parties</w:t>
      </w:r>
      <w:r w:rsidRPr="00170568">
        <w:rPr>
          <w:rFonts w:asciiTheme="minorHAnsi" w:hAnsiTheme="minorHAnsi" w:cstheme="minorHAnsi"/>
          <w:sz w:val="22"/>
          <w:szCs w:val="22"/>
        </w:rPr>
        <w:t xml:space="preserve"> (le créancier, demandeur à l'injonction de payer et le débiteur), la requête doit mentionner :</w:t>
      </w:r>
    </w:p>
    <w:p w:rsidR="004B5893" w:rsidRPr="00170568" w:rsidRDefault="00D43B63" w:rsidP="001C5934">
      <w:pPr>
        <w:numPr>
          <w:ilvl w:val="0"/>
          <w:numId w:val="11"/>
        </w:numPr>
        <w:tabs>
          <w:tab w:val="clear" w:pos="720"/>
        </w:tabs>
        <w:spacing w:after="0" w:line="240" w:lineRule="auto"/>
        <w:ind w:left="426"/>
        <w:jc w:val="both"/>
        <w:rPr>
          <w:rFonts w:cstheme="minorHAnsi"/>
        </w:rPr>
      </w:pPr>
      <w:r w:rsidRPr="00170568">
        <w:rPr>
          <w:rFonts w:cstheme="minorHAnsi"/>
        </w:rPr>
        <w:t>pour les créanciers demandeurs personnes morales : leur forme juridique, dénomination, siège social, organe les représentant légalement, numéro de RCS (le tout suivant, par exemple, la formule suivante : SARL X, ayant son siège social à…, immatriculée au RCS de Paris sous le n°…., représentée par M……., gérant)</w:t>
      </w:r>
      <w:r w:rsidR="004B5893" w:rsidRPr="00170568">
        <w:rPr>
          <w:rFonts w:cstheme="minorHAnsi"/>
        </w:rPr>
        <w:t>. […]</w:t>
      </w:r>
    </w:p>
    <w:p w:rsidR="004B5893" w:rsidRPr="00170568" w:rsidRDefault="00D43B63">
      <w:pPr>
        <w:spacing w:after="0" w:line="240" w:lineRule="auto"/>
        <w:jc w:val="both"/>
        <w:rPr>
          <w:rFonts w:cstheme="minorHAnsi"/>
        </w:rPr>
      </w:pPr>
      <w:r w:rsidRPr="00170568">
        <w:rPr>
          <w:rFonts w:cstheme="minorHAnsi"/>
        </w:rPr>
        <w:t xml:space="preserve">S'agissant des </w:t>
      </w:r>
      <w:r w:rsidRPr="00170568">
        <w:rPr>
          <w:rStyle w:val="lev"/>
          <w:rFonts w:cstheme="minorHAnsi"/>
        </w:rPr>
        <w:t>principales caractéristiques du litige</w:t>
      </w:r>
      <w:r w:rsidRPr="00170568">
        <w:rPr>
          <w:rFonts w:cstheme="minorHAnsi"/>
        </w:rPr>
        <w:t>, la requête doit fournir les informations suivantes : l'objet de la demande, le montant de la somme réclamée avec le décompte des différents éléments de la créance et le fondement de celle-ci.</w:t>
      </w:r>
    </w:p>
    <w:p w:rsidR="00D43B63" w:rsidRPr="00170568" w:rsidRDefault="00D43B63">
      <w:pPr>
        <w:spacing w:after="0" w:line="240" w:lineRule="auto"/>
        <w:jc w:val="both"/>
        <w:rPr>
          <w:rFonts w:cstheme="minorHAnsi"/>
        </w:rPr>
      </w:pPr>
      <w:r w:rsidRPr="00170568">
        <w:rPr>
          <w:rFonts w:cstheme="minorHAnsi"/>
        </w:rPr>
        <w:t>En outre, le créancier peut, dans la requête, demander qu'en cas d'opposition du débiteur à une ordonnance d'injonction de payer, l'affaire soit immédiatement envoyée devant la juridiction qu'il y indique.</w:t>
      </w:r>
      <w:r w:rsidRPr="00170568">
        <w:rPr>
          <w:rFonts w:cstheme="minorHAnsi"/>
        </w:rPr>
        <w:br/>
        <w:t xml:space="preserve">Par ailleurs (ainsi qu'il est prévu sur l'imprimé), </w:t>
      </w:r>
      <w:r w:rsidRPr="00170568">
        <w:rPr>
          <w:rStyle w:val="lev"/>
          <w:rFonts w:cstheme="minorHAnsi"/>
        </w:rPr>
        <w:t>le créancier peut, éventuellement, demander que des frais soient mis à la charge du débiteur.</w:t>
      </w:r>
      <w:r w:rsidRPr="00170568">
        <w:rPr>
          <w:rFonts w:cstheme="minorHAnsi"/>
        </w:rPr>
        <w:t xml:space="preserve"> Il s'agit, généralement, des frais de recouvrement (frais de greffe ; de timbre fiscal ; frais d'avocat, d'huissier…). Le juge apprécie et fixe souverainement cette demande et donc le montant des frais.</w:t>
      </w:r>
    </w:p>
    <w:p w:rsidR="004B5893" w:rsidRPr="00170568" w:rsidRDefault="00D43B63">
      <w:pPr>
        <w:pStyle w:val="NormalWeb"/>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Enfin, la requête doit être étayée, outre de leur liste, de la copie des pièces justificatives de la créance (devant, chacune, être datée, signée et certifiée conforme à l'original par le demandeur) : lettre de mise en demeure, bons de commande, factures impayées, traites acceptées revenues impayées, lettres ou contrats constituant des engagements de payer, échanges de correspondances prouvant la conclusion d'un contrat entre les parties…</w:t>
      </w:r>
    </w:p>
    <w:p w:rsidR="008814A5" w:rsidRPr="00170568" w:rsidRDefault="00D43B63">
      <w:pPr>
        <w:pStyle w:val="NormalWeb"/>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 xml:space="preserve">Dans le cas où la requête est établie ou déposée par tout autre mandataire qu'un auxiliaire de justice (avocat ou huissier de justice), la requête doit être accompagnée d'un </w:t>
      </w:r>
      <w:r w:rsidRPr="00170568">
        <w:rPr>
          <w:rStyle w:val="lev"/>
          <w:rFonts w:asciiTheme="minorHAnsi" w:hAnsiTheme="minorHAnsi" w:cstheme="minorHAnsi"/>
          <w:sz w:val="22"/>
          <w:szCs w:val="22"/>
        </w:rPr>
        <w:t xml:space="preserve">exemplaire original du pouvoir spécialement conféré à ce mandataire </w:t>
      </w:r>
      <w:r w:rsidRPr="00170568">
        <w:rPr>
          <w:rFonts w:asciiTheme="minorHAnsi" w:hAnsiTheme="minorHAnsi" w:cstheme="minorHAnsi"/>
          <w:sz w:val="22"/>
          <w:szCs w:val="22"/>
        </w:rPr>
        <w:t>et établi en bonne et due forme (notamment daté et signé par le mandant et le mandataire).</w:t>
      </w:r>
    </w:p>
    <w:p w:rsidR="008814A5" w:rsidRPr="001C5934" w:rsidRDefault="008814A5" w:rsidP="004B5893">
      <w:pPr>
        <w:pStyle w:val="NormalWeb"/>
        <w:spacing w:before="0" w:beforeAutospacing="0" w:after="0" w:afterAutospacing="0"/>
        <w:jc w:val="both"/>
        <w:rPr>
          <w:rStyle w:val="lev"/>
          <w:rFonts w:asciiTheme="minorHAnsi" w:hAnsiTheme="minorHAnsi" w:cstheme="minorHAnsi"/>
          <w:sz w:val="22"/>
          <w:szCs w:val="22"/>
        </w:rPr>
      </w:pPr>
    </w:p>
    <w:p w:rsidR="004B5893" w:rsidRPr="00170568" w:rsidRDefault="00D43B63" w:rsidP="001C5934">
      <w:pPr>
        <w:pStyle w:val="NormalWeb"/>
        <w:spacing w:before="0" w:beforeAutospacing="0" w:afterAutospacing="0"/>
        <w:jc w:val="both"/>
        <w:rPr>
          <w:rStyle w:val="lev"/>
          <w:rFonts w:asciiTheme="minorHAnsi" w:hAnsiTheme="minorHAnsi" w:cstheme="minorHAnsi"/>
          <w:sz w:val="22"/>
          <w:szCs w:val="22"/>
        </w:rPr>
      </w:pPr>
      <w:r w:rsidRPr="00170568">
        <w:rPr>
          <w:rStyle w:val="lev"/>
          <w:rFonts w:asciiTheme="minorHAnsi" w:hAnsiTheme="minorHAnsi" w:cstheme="minorHAnsi"/>
          <w:sz w:val="22"/>
          <w:szCs w:val="22"/>
        </w:rPr>
        <w:t>Modalités de communication de la requête au tribunal</w:t>
      </w:r>
    </w:p>
    <w:p w:rsidR="004B5893" w:rsidRPr="00170568" w:rsidRDefault="00D43B63" w:rsidP="004B5893">
      <w:pPr>
        <w:pStyle w:val="NormalWeb"/>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La requête peut être soit adressée par voie postale, soit déposée en mains propres au greffe du juge compétent, par le créancier lui-même ou par tout mandataire (ce dernier, s'il n'est avocat, doit être muni d'un pouvoir spécial).</w:t>
      </w:r>
    </w:p>
    <w:p w:rsidR="00887CE9" w:rsidRPr="00170568" w:rsidRDefault="00D43B63" w:rsidP="004B5893">
      <w:pPr>
        <w:pStyle w:val="NormalWeb"/>
        <w:spacing w:before="0" w:beforeAutospacing="0" w:after="0" w:afterAutospacing="0"/>
        <w:jc w:val="both"/>
        <w:rPr>
          <w:rFonts w:asciiTheme="minorHAnsi" w:hAnsiTheme="minorHAnsi" w:cstheme="minorHAnsi"/>
          <w:sz w:val="22"/>
          <w:szCs w:val="22"/>
        </w:rPr>
      </w:pPr>
      <w:r w:rsidRPr="00170568">
        <w:rPr>
          <w:rFonts w:asciiTheme="minorHAnsi" w:hAnsiTheme="minorHAnsi" w:cstheme="minorHAnsi"/>
          <w:sz w:val="22"/>
          <w:szCs w:val="22"/>
        </w:rPr>
        <w:t xml:space="preserve">À ce jour, </w:t>
      </w:r>
      <w:r w:rsidRPr="00170568">
        <w:rPr>
          <w:rStyle w:val="lev"/>
          <w:rFonts w:asciiTheme="minorHAnsi" w:hAnsiTheme="minorHAnsi" w:cstheme="minorHAnsi"/>
          <w:sz w:val="22"/>
          <w:szCs w:val="22"/>
        </w:rPr>
        <w:t xml:space="preserve">la requête peut également être transmise par voie électronique </w:t>
      </w:r>
      <w:r w:rsidRPr="00170568">
        <w:rPr>
          <w:rFonts w:asciiTheme="minorHAnsi" w:hAnsiTheme="minorHAnsi" w:cstheme="minorHAnsi"/>
          <w:sz w:val="22"/>
          <w:szCs w:val="22"/>
        </w:rPr>
        <w:t>devant les tribunaux suivants : les tribunaux de commerce, les juridictions de proximité, les tribunaux d'instance.</w:t>
      </w:r>
      <w:r w:rsidR="00887CE9" w:rsidRPr="00170568">
        <w:rPr>
          <w:rFonts w:asciiTheme="minorHAnsi" w:hAnsiTheme="minorHAnsi" w:cstheme="minorHAnsi"/>
          <w:sz w:val="22"/>
          <w:szCs w:val="22"/>
        </w:rPr>
        <w:t> </w:t>
      </w:r>
    </w:p>
    <w:p w:rsidR="00561557" w:rsidRPr="00170568" w:rsidRDefault="004B5893" w:rsidP="004B5893">
      <w:pPr>
        <w:spacing w:after="0" w:line="240" w:lineRule="auto"/>
        <w:jc w:val="right"/>
        <w:rPr>
          <w:rFonts w:cstheme="minorHAnsi"/>
        </w:rPr>
      </w:pPr>
      <w:r w:rsidRPr="00170568">
        <w:rPr>
          <w:rFonts w:cstheme="minorHAnsi"/>
        </w:rPr>
        <w:t>Source : infogreffe.fr</w:t>
      </w:r>
    </w:p>
    <w:sectPr w:rsidR="00561557" w:rsidRPr="00170568" w:rsidSect="00405E9C">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8D1" w:rsidRDefault="00E328D1" w:rsidP="008D243F">
      <w:pPr>
        <w:spacing w:after="0" w:line="240" w:lineRule="auto"/>
      </w:pPr>
      <w:r>
        <w:separator/>
      </w:r>
    </w:p>
  </w:endnote>
  <w:endnote w:type="continuationSeparator" w:id="0">
    <w:p w:rsidR="00E328D1" w:rsidRDefault="00E328D1" w:rsidP="008D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554398"/>
      <w:docPartObj>
        <w:docPartGallery w:val="Page Numbers (Bottom of Page)"/>
        <w:docPartUnique/>
      </w:docPartObj>
    </w:sdtPr>
    <w:sdtEndPr/>
    <w:sdtContent>
      <w:sdt>
        <w:sdtPr>
          <w:id w:val="1319702329"/>
          <w:docPartObj>
            <w:docPartGallery w:val="Page Numbers (Top of Page)"/>
            <w:docPartUnique/>
          </w:docPartObj>
        </w:sdtPr>
        <w:sdtEndPr/>
        <w:sdtContent>
          <w:p w:rsidR="008D243F" w:rsidRDefault="008D243F" w:rsidP="001C5934">
            <w:pPr>
              <w:pStyle w:val="Pieddepage"/>
              <w:jc w:val="center"/>
            </w:pPr>
            <w:r w:rsidRPr="00B0637B">
              <w:rPr>
                <w:sz w:val="18"/>
                <w:szCs w:val="18"/>
              </w:rPr>
              <w:t xml:space="preserve">GENERIK – Dossier </w:t>
            </w:r>
            <w:r>
              <w:rPr>
                <w:sz w:val="18"/>
                <w:szCs w:val="18"/>
              </w:rPr>
              <w:t>étudiant – Épisode 4 – Ress_Docum</w:t>
            </w:r>
            <w:r w:rsidRPr="00B0637B">
              <w:rPr>
                <w:sz w:val="18"/>
                <w:szCs w:val="18"/>
              </w:rPr>
              <w:t xml:space="preserve">– </w:t>
            </w:r>
            <w:hyperlink r:id="rId1" w:history="1">
              <w:r w:rsidRPr="00B0637B">
                <w:rPr>
                  <w:rStyle w:val="Lienhypertexte"/>
                  <w:sz w:val="18"/>
                  <w:szCs w:val="18"/>
                </w:rPr>
                <w:t>www.crcom.ac-versailles.fr</w:t>
              </w:r>
            </w:hyperlink>
            <w:r w:rsidRPr="00B0637B">
              <w:rPr>
                <w:sz w:val="18"/>
                <w:szCs w:val="18"/>
              </w:rPr>
              <w:t xml:space="preserve"> Amaya Géronimi &amp; Sophie Catinaud</w:t>
            </w:r>
            <w:r>
              <w:t xml:space="preserve"> </w:t>
            </w:r>
            <w:r>
              <w:tab/>
            </w:r>
            <w:r w:rsidRPr="00B0637B">
              <w:rPr>
                <w:sz w:val="18"/>
                <w:szCs w:val="18"/>
              </w:rPr>
              <w:t xml:space="preserve">Page </w:t>
            </w:r>
            <w:r w:rsidRPr="00B0637B">
              <w:rPr>
                <w:b/>
                <w:bCs/>
                <w:sz w:val="18"/>
                <w:szCs w:val="18"/>
              </w:rPr>
              <w:fldChar w:fldCharType="begin"/>
            </w:r>
            <w:r w:rsidRPr="00B0637B">
              <w:rPr>
                <w:b/>
                <w:bCs/>
                <w:sz w:val="18"/>
                <w:szCs w:val="18"/>
              </w:rPr>
              <w:instrText>PAGE</w:instrText>
            </w:r>
            <w:r w:rsidRPr="00B0637B">
              <w:rPr>
                <w:b/>
                <w:bCs/>
                <w:sz w:val="18"/>
                <w:szCs w:val="18"/>
              </w:rPr>
              <w:fldChar w:fldCharType="separate"/>
            </w:r>
            <w:r w:rsidR="001C5934">
              <w:rPr>
                <w:b/>
                <w:bCs/>
                <w:noProof/>
                <w:sz w:val="18"/>
                <w:szCs w:val="18"/>
              </w:rPr>
              <w:t>1</w:t>
            </w:r>
            <w:r w:rsidRPr="00B0637B">
              <w:rPr>
                <w:b/>
                <w:bCs/>
                <w:sz w:val="18"/>
                <w:szCs w:val="18"/>
              </w:rPr>
              <w:fldChar w:fldCharType="end"/>
            </w:r>
            <w:r w:rsidRPr="00B0637B">
              <w:rPr>
                <w:sz w:val="18"/>
                <w:szCs w:val="18"/>
              </w:rPr>
              <w:t xml:space="preserve"> sur </w:t>
            </w:r>
            <w:r w:rsidRPr="00B0637B">
              <w:rPr>
                <w:b/>
                <w:bCs/>
                <w:sz w:val="18"/>
                <w:szCs w:val="18"/>
              </w:rPr>
              <w:fldChar w:fldCharType="begin"/>
            </w:r>
            <w:r w:rsidRPr="00B0637B">
              <w:rPr>
                <w:b/>
                <w:bCs/>
                <w:sz w:val="18"/>
                <w:szCs w:val="18"/>
              </w:rPr>
              <w:instrText>NUMPAGES</w:instrText>
            </w:r>
            <w:r w:rsidRPr="00B0637B">
              <w:rPr>
                <w:b/>
                <w:bCs/>
                <w:sz w:val="18"/>
                <w:szCs w:val="18"/>
              </w:rPr>
              <w:fldChar w:fldCharType="separate"/>
            </w:r>
            <w:r w:rsidR="001C5934">
              <w:rPr>
                <w:b/>
                <w:bCs/>
                <w:noProof/>
                <w:sz w:val="18"/>
                <w:szCs w:val="18"/>
              </w:rPr>
              <w:t>5</w:t>
            </w:r>
            <w:r w:rsidRPr="00B0637B">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8D1" w:rsidRDefault="00E328D1" w:rsidP="008D243F">
      <w:pPr>
        <w:spacing w:after="0" w:line="240" w:lineRule="auto"/>
      </w:pPr>
      <w:r>
        <w:separator/>
      </w:r>
    </w:p>
  </w:footnote>
  <w:footnote w:type="continuationSeparator" w:id="0">
    <w:p w:rsidR="00E328D1" w:rsidRDefault="00E328D1" w:rsidP="008D2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855"/>
    <w:multiLevelType w:val="multilevel"/>
    <w:tmpl w:val="3B12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D34A9"/>
    <w:multiLevelType w:val="multilevel"/>
    <w:tmpl w:val="E184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B3B32"/>
    <w:multiLevelType w:val="multilevel"/>
    <w:tmpl w:val="70B0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307D69"/>
    <w:multiLevelType w:val="multilevel"/>
    <w:tmpl w:val="E0C8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167137"/>
    <w:multiLevelType w:val="multilevel"/>
    <w:tmpl w:val="33E0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244EE"/>
    <w:multiLevelType w:val="multilevel"/>
    <w:tmpl w:val="5A1C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76CF6"/>
    <w:multiLevelType w:val="multilevel"/>
    <w:tmpl w:val="B5C2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7021E"/>
    <w:multiLevelType w:val="hybridMultilevel"/>
    <w:tmpl w:val="D8028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177EC9"/>
    <w:multiLevelType w:val="multilevel"/>
    <w:tmpl w:val="5104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E54025"/>
    <w:multiLevelType w:val="multilevel"/>
    <w:tmpl w:val="1458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A2023"/>
    <w:multiLevelType w:val="multilevel"/>
    <w:tmpl w:val="44B8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61AC9"/>
    <w:multiLevelType w:val="multilevel"/>
    <w:tmpl w:val="8C2A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D21BE"/>
    <w:multiLevelType w:val="multilevel"/>
    <w:tmpl w:val="49B2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E54B5"/>
    <w:multiLevelType w:val="multilevel"/>
    <w:tmpl w:val="FCDC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C7F30"/>
    <w:multiLevelType w:val="multilevel"/>
    <w:tmpl w:val="5846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636210"/>
    <w:multiLevelType w:val="multilevel"/>
    <w:tmpl w:val="825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8"/>
  </w:num>
  <w:num w:numId="4">
    <w:abstractNumId w:val="15"/>
  </w:num>
  <w:num w:numId="5">
    <w:abstractNumId w:val="2"/>
  </w:num>
  <w:num w:numId="6">
    <w:abstractNumId w:val="1"/>
  </w:num>
  <w:num w:numId="7">
    <w:abstractNumId w:val="9"/>
  </w:num>
  <w:num w:numId="8">
    <w:abstractNumId w:val="4"/>
  </w:num>
  <w:num w:numId="9">
    <w:abstractNumId w:val="10"/>
  </w:num>
  <w:num w:numId="10">
    <w:abstractNumId w:val="6"/>
  </w:num>
  <w:num w:numId="11">
    <w:abstractNumId w:val="3"/>
  </w:num>
  <w:num w:numId="12">
    <w:abstractNumId w:val="14"/>
  </w:num>
  <w:num w:numId="13">
    <w:abstractNumId w:val="0"/>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DA"/>
    <w:rsid w:val="0009586A"/>
    <w:rsid w:val="000E0832"/>
    <w:rsid w:val="00170568"/>
    <w:rsid w:val="001C5934"/>
    <w:rsid w:val="003352B8"/>
    <w:rsid w:val="003A167F"/>
    <w:rsid w:val="003E4B78"/>
    <w:rsid w:val="00405E9C"/>
    <w:rsid w:val="004471D7"/>
    <w:rsid w:val="004979AD"/>
    <w:rsid w:val="004B5893"/>
    <w:rsid w:val="004E20E2"/>
    <w:rsid w:val="004E49BF"/>
    <w:rsid w:val="005E1966"/>
    <w:rsid w:val="005E2CF5"/>
    <w:rsid w:val="00650024"/>
    <w:rsid w:val="00674817"/>
    <w:rsid w:val="007437C9"/>
    <w:rsid w:val="008814A5"/>
    <w:rsid w:val="00887CE9"/>
    <w:rsid w:val="008D243F"/>
    <w:rsid w:val="0092236E"/>
    <w:rsid w:val="00995802"/>
    <w:rsid w:val="00B178E5"/>
    <w:rsid w:val="00BD1896"/>
    <w:rsid w:val="00BE27FD"/>
    <w:rsid w:val="00C92BC0"/>
    <w:rsid w:val="00D43B63"/>
    <w:rsid w:val="00D978DA"/>
    <w:rsid w:val="00E328D1"/>
    <w:rsid w:val="00EB1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24D48-D2BF-4952-9F16-78CF3FB0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D97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978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978D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887C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D43B6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78D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978D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978DA"/>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D978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78DA"/>
    <w:rPr>
      <w:b/>
      <w:bCs/>
    </w:rPr>
  </w:style>
  <w:style w:type="character" w:styleId="Lienhypertexte">
    <w:name w:val="Hyperlink"/>
    <w:basedOn w:val="Policepardfaut"/>
    <w:uiPriority w:val="99"/>
    <w:unhideWhenUsed/>
    <w:rsid w:val="00D978DA"/>
    <w:rPr>
      <w:color w:val="0000FF"/>
      <w:u w:val="single"/>
    </w:rPr>
  </w:style>
  <w:style w:type="paragraph" w:styleId="Paragraphedeliste">
    <w:name w:val="List Paragraph"/>
    <w:basedOn w:val="Normal"/>
    <w:uiPriority w:val="34"/>
    <w:qFormat/>
    <w:rsid w:val="00D978DA"/>
    <w:pPr>
      <w:ind w:left="720"/>
      <w:contextualSpacing/>
    </w:pPr>
  </w:style>
  <w:style w:type="character" w:customStyle="1" w:styleId="Titre4Car">
    <w:name w:val="Titre 4 Car"/>
    <w:basedOn w:val="Policepardfaut"/>
    <w:link w:val="Titre4"/>
    <w:uiPriority w:val="9"/>
    <w:semiHidden/>
    <w:rsid w:val="00887CE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D43B63"/>
    <w:rPr>
      <w:rFonts w:asciiTheme="majorHAnsi" w:eastAsiaTheme="majorEastAsia" w:hAnsiTheme="majorHAnsi" w:cstheme="majorBidi"/>
      <w:color w:val="2F5496" w:themeColor="accent1" w:themeShade="BF"/>
    </w:rPr>
  </w:style>
  <w:style w:type="character" w:styleId="Lienhypertextesuivivisit">
    <w:name w:val="FollowedHyperlink"/>
    <w:basedOn w:val="Policepardfaut"/>
    <w:uiPriority w:val="99"/>
    <w:semiHidden/>
    <w:unhideWhenUsed/>
    <w:rsid w:val="00EB1DC3"/>
    <w:rPr>
      <w:color w:val="954F72" w:themeColor="followedHyperlink"/>
      <w:u w:val="single"/>
    </w:rPr>
  </w:style>
  <w:style w:type="paragraph" w:styleId="En-tte">
    <w:name w:val="header"/>
    <w:basedOn w:val="Normal"/>
    <w:link w:val="En-tteCar"/>
    <w:uiPriority w:val="99"/>
    <w:rsid w:val="008D243F"/>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En-tteCar">
    <w:name w:val="En-tête Car"/>
    <w:basedOn w:val="Policepardfaut"/>
    <w:link w:val="En-tte"/>
    <w:uiPriority w:val="99"/>
    <w:rsid w:val="008D243F"/>
    <w:rPr>
      <w:rFonts w:ascii="Calibri" w:eastAsia="Calibri" w:hAnsi="Calibri" w:cs="Times New Roman"/>
    </w:rPr>
  </w:style>
  <w:style w:type="paragraph" w:styleId="Pieddepage">
    <w:name w:val="footer"/>
    <w:basedOn w:val="Normal"/>
    <w:link w:val="PieddepageCar"/>
    <w:uiPriority w:val="99"/>
    <w:unhideWhenUsed/>
    <w:rsid w:val="008D24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243F"/>
  </w:style>
  <w:style w:type="paragraph" w:styleId="Textedebulles">
    <w:name w:val="Balloon Text"/>
    <w:basedOn w:val="Normal"/>
    <w:link w:val="TextedebullesCar"/>
    <w:uiPriority w:val="99"/>
    <w:semiHidden/>
    <w:unhideWhenUsed/>
    <w:rsid w:val="001C59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5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989">
      <w:bodyDiv w:val="1"/>
      <w:marLeft w:val="0"/>
      <w:marRight w:val="0"/>
      <w:marTop w:val="0"/>
      <w:marBottom w:val="0"/>
      <w:divBdr>
        <w:top w:val="none" w:sz="0" w:space="0" w:color="auto"/>
        <w:left w:val="none" w:sz="0" w:space="0" w:color="auto"/>
        <w:bottom w:val="none" w:sz="0" w:space="0" w:color="auto"/>
        <w:right w:val="none" w:sz="0" w:space="0" w:color="auto"/>
      </w:divBdr>
      <w:divsChild>
        <w:div w:id="451826657">
          <w:marLeft w:val="0"/>
          <w:marRight w:val="0"/>
          <w:marTop w:val="0"/>
          <w:marBottom w:val="0"/>
          <w:divBdr>
            <w:top w:val="none" w:sz="0" w:space="0" w:color="auto"/>
            <w:left w:val="none" w:sz="0" w:space="0" w:color="auto"/>
            <w:bottom w:val="none" w:sz="0" w:space="0" w:color="auto"/>
            <w:right w:val="none" w:sz="0" w:space="0" w:color="auto"/>
          </w:divBdr>
        </w:div>
        <w:div w:id="1853716431">
          <w:marLeft w:val="0"/>
          <w:marRight w:val="0"/>
          <w:marTop w:val="0"/>
          <w:marBottom w:val="0"/>
          <w:divBdr>
            <w:top w:val="none" w:sz="0" w:space="0" w:color="auto"/>
            <w:left w:val="none" w:sz="0" w:space="0" w:color="auto"/>
            <w:bottom w:val="none" w:sz="0" w:space="0" w:color="auto"/>
            <w:right w:val="none" w:sz="0" w:space="0" w:color="auto"/>
          </w:divBdr>
          <w:divsChild>
            <w:div w:id="293798229">
              <w:marLeft w:val="0"/>
              <w:marRight w:val="0"/>
              <w:marTop w:val="0"/>
              <w:marBottom w:val="0"/>
              <w:divBdr>
                <w:top w:val="none" w:sz="0" w:space="0" w:color="auto"/>
                <w:left w:val="none" w:sz="0" w:space="0" w:color="auto"/>
                <w:bottom w:val="none" w:sz="0" w:space="0" w:color="auto"/>
                <w:right w:val="none" w:sz="0" w:space="0" w:color="auto"/>
              </w:divBdr>
            </w:div>
            <w:div w:id="535654745">
              <w:marLeft w:val="0"/>
              <w:marRight w:val="0"/>
              <w:marTop w:val="0"/>
              <w:marBottom w:val="0"/>
              <w:divBdr>
                <w:top w:val="none" w:sz="0" w:space="0" w:color="auto"/>
                <w:left w:val="none" w:sz="0" w:space="0" w:color="auto"/>
                <w:bottom w:val="none" w:sz="0" w:space="0" w:color="auto"/>
                <w:right w:val="none" w:sz="0" w:space="0" w:color="auto"/>
              </w:divBdr>
            </w:div>
            <w:div w:id="121458793">
              <w:marLeft w:val="0"/>
              <w:marRight w:val="0"/>
              <w:marTop w:val="0"/>
              <w:marBottom w:val="0"/>
              <w:divBdr>
                <w:top w:val="none" w:sz="0" w:space="0" w:color="auto"/>
                <w:left w:val="none" w:sz="0" w:space="0" w:color="auto"/>
                <w:bottom w:val="none" w:sz="0" w:space="0" w:color="auto"/>
                <w:right w:val="none" w:sz="0" w:space="0" w:color="auto"/>
              </w:divBdr>
            </w:div>
          </w:divsChild>
        </w:div>
        <w:div w:id="699739572">
          <w:marLeft w:val="0"/>
          <w:marRight w:val="0"/>
          <w:marTop w:val="0"/>
          <w:marBottom w:val="0"/>
          <w:divBdr>
            <w:top w:val="none" w:sz="0" w:space="0" w:color="auto"/>
            <w:left w:val="none" w:sz="0" w:space="0" w:color="auto"/>
            <w:bottom w:val="none" w:sz="0" w:space="0" w:color="auto"/>
            <w:right w:val="none" w:sz="0" w:space="0" w:color="auto"/>
          </w:divBdr>
          <w:divsChild>
            <w:div w:id="2080668356">
              <w:marLeft w:val="0"/>
              <w:marRight w:val="0"/>
              <w:marTop w:val="0"/>
              <w:marBottom w:val="0"/>
              <w:divBdr>
                <w:top w:val="none" w:sz="0" w:space="0" w:color="auto"/>
                <w:left w:val="none" w:sz="0" w:space="0" w:color="auto"/>
                <w:bottom w:val="none" w:sz="0" w:space="0" w:color="auto"/>
                <w:right w:val="none" w:sz="0" w:space="0" w:color="auto"/>
              </w:divBdr>
            </w:div>
            <w:div w:id="1661035354">
              <w:marLeft w:val="0"/>
              <w:marRight w:val="0"/>
              <w:marTop w:val="0"/>
              <w:marBottom w:val="0"/>
              <w:divBdr>
                <w:top w:val="none" w:sz="0" w:space="0" w:color="auto"/>
                <w:left w:val="none" w:sz="0" w:space="0" w:color="auto"/>
                <w:bottom w:val="none" w:sz="0" w:space="0" w:color="auto"/>
                <w:right w:val="none" w:sz="0" w:space="0" w:color="auto"/>
              </w:divBdr>
            </w:div>
            <w:div w:id="720133991">
              <w:marLeft w:val="0"/>
              <w:marRight w:val="0"/>
              <w:marTop w:val="0"/>
              <w:marBottom w:val="0"/>
              <w:divBdr>
                <w:top w:val="none" w:sz="0" w:space="0" w:color="auto"/>
                <w:left w:val="none" w:sz="0" w:space="0" w:color="auto"/>
                <w:bottom w:val="none" w:sz="0" w:space="0" w:color="auto"/>
                <w:right w:val="none" w:sz="0" w:space="0" w:color="auto"/>
              </w:divBdr>
            </w:div>
          </w:divsChild>
        </w:div>
        <w:div w:id="366033187">
          <w:marLeft w:val="0"/>
          <w:marRight w:val="0"/>
          <w:marTop w:val="0"/>
          <w:marBottom w:val="0"/>
          <w:divBdr>
            <w:top w:val="none" w:sz="0" w:space="0" w:color="auto"/>
            <w:left w:val="none" w:sz="0" w:space="0" w:color="auto"/>
            <w:bottom w:val="none" w:sz="0" w:space="0" w:color="auto"/>
            <w:right w:val="none" w:sz="0" w:space="0" w:color="auto"/>
          </w:divBdr>
          <w:divsChild>
            <w:div w:id="1766875605">
              <w:marLeft w:val="0"/>
              <w:marRight w:val="0"/>
              <w:marTop w:val="0"/>
              <w:marBottom w:val="0"/>
              <w:divBdr>
                <w:top w:val="none" w:sz="0" w:space="0" w:color="auto"/>
                <w:left w:val="none" w:sz="0" w:space="0" w:color="auto"/>
                <w:bottom w:val="none" w:sz="0" w:space="0" w:color="auto"/>
                <w:right w:val="none" w:sz="0" w:space="0" w:color="auto"/>
              </w:divBdr>
            </w:div>
            <w:div w:id="1268269924">
              <w:marLeft w:val="0"/>
              <w:marRight w:val="0"/>
              <w:marTop w:val="0"/>
              <w:marBottom w:val="0"/>
              <w:divBdr>
                <w:top w:val="none" w:sz="0" w:space="0" w:color="auto"/>
                <w:left w:val="none" w:sz="0" w:space="0" w:color="auto"/>
                <w:bottom w:val="none" w:sz="0" w:space="0" w:color="auto"/>
                <w:right w:val="none" w:sz="0" w:space="0" w:color="auto"/>
              </w:divBdr>
            </w:div>
            <w:div w:id="20915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3504">
      <w:bodyDiv w:val="1"/>
      <w:marLeft w:val="0"/>
      <w:marRight w:val="0"/>
      <w:marTop w:val="0"/>
      <w:marBottom w:val="0"/>
      <w:divBdr>
        <w:top w:val="none" w:sz="0" w:space="0" w:color="auto"/>
        <w:left w:val="none" w:sz="0" w:space="0" w:color="auto"/>
        <w:bottom w:val="none" w:sz="0" w:space="0" w:color="auto"/>
        <w:right w:val="none" w:sz="0" w:space="0" w:color="auto"/>
      </w:divBdr>
    </w:div>
    <w:div w:id="151139688">
      <w:bodyDiv w:val="1"/>
      <w:marLeft w:val="0"/>
      <w:marRight w:val="0"/>
      <w:marTop w:val="0"/>
      <w:marBottom w:val="0"/>
      <w:divBdr>
        <w:top w:val="none" w:sz="0" w:space="0" w:color="auto"/>
        <w:left w:val="none" w:sz="0" w:space="0" w:color="auto"/>
        <w:bottom w:val="none" w:sz="0" w:space="0" w:color="auto"/>
        <w:right w:val="none" w:sz="0" w:space="0" w:color="auto"/>
      </w:divBdr>
    </w:div>
    <w:div w:id="231238079">
      <w:bodyDiv w:val="1"/>
      <w:marLeft w:val="0"/>
      <w:marRight w:val="0"/>
      <w:marTop w:val="0"/>
      <w:marBottom w:val="0"/>
      <w:divBdr>
        <w:top w:val="none" w:sz="0" w:space="0" w:color="auto"/>
        <w:left w:val="none" w:sz="0" w:space="0" w:color="auto"/>
        <w:bottom w:val="none" w:sz="0" w:space="0" w:color="auto"/>
        <w:right w:val="none" w:sz="0" w:space="0" w:color="auto"/>
      </w:divBdr>
      <w:divsChild>
        <w:div w:id="1537963827">
          <w:marLeft w:val="0"/>
          <w:marRight w:val="0"/>
          <w:marTop w:val="0"/>
          <w:marBottom w:val="0"/>
          <w:divBdr>
            <w:top w:val="none" w:sz="0" w:space="0" w:color="auto"/>
            <w:left w:val="none" w:sz="0" w:space="0" w:color="auto"/>
            <w:bottom w:val="none" w:sz="0" w:space="0" w:color="auto"/>
            <w:right w:val="none" w:sz="0" w:space="0" w:color="auto"/>
          </w:divBdr>
          <w:divsChild>
            <w:div w:id="1453129787">
              <w:marLeft w:val="0"/>
              <w:marRight w:val="0"/>
              <w:marTop w:val="0"/>
              <w:marBottom w:val="0"/>
              <w:divBdr>
                <w:top w:val="none" w:sz="0" w:space="0" w:color="auto"/>
                <w:left w:val="none" w:sz="0" w:space="0" w:color="auto"/>
                <w:bottom w:val="none" w:sz="0" w:space="0" w:color="auto"/>
                <w:right w:val="none" w:sz="0" w:space="0" w:color="auto"/>
              </w:divBdr>
              <w:divsChild>
                <w:div w:id="1661498832">
                  <w:marLeft w:val="0"/>
                  <w:marRight w:val="0"/>
                  <w:marTop w:val="0"/>
                  <w:marBottom w:val="0"/>
                  <w:divBdr>
                    <w:top w:val="none" w:sz="0" w:space="0" w:color="auto"/>
                    <w:left w:val="none" w:sz="0" w:space="0" w:color="auto"/>
                    <w:bottom w:val="none" w:sz="0" w:space="0" w:color="auto"/>
                    <w:right w:val="none" w:sz="0" w:space="0" w:color="auto"/>
                  </w:divBdr>
                </w:div>
                <w:div w:id="13886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4229">
      <w:bodyDiv w:val="1"/>
      <w:marLeft w:val="0"/>
      <w:marRight w:val="0"/>
      <w:marTop w:val="0"/>
      <w:marBottom w:val="0"/>
      <w:divBdr>
        <w:top w:val="none" w:sz="0" w:space="0" w:color="auto"/>
        <w:left w:val="none" w:sz="0" w:space="0" w:color="auto"/>
        <w:bottom w:val="none" w:sz="0" w:space="0" w:color="auto"/>
        <w:right w:val="none" w:sz="0" w:space="0" w:color="auto"/>
      </w:divBdr>
      <w:divsChild>
        <w:div w:id="13191574">
          <w:marLeft w:val="0"/>
          <w:marRight w:val="0"/>
          <w:marTop w:val="0"/>
          <w:marBottom w:val="0"/>
          <w:divBdr>
            <w:top w:val="none" w:sz="0" w:space="0" w:color="auto"/>
            <w:left w:val="none" w:sz="0" w:space="0" w:color="auto"/>
            <w:bottom w:val="none" w:sz="0" w:space="0" w:color="auto"/>
            <w:right w:val="none" w:sz="0" w:space="0" w:color="auto"/>
          </w:divBdr>
        </w:div>
        <w:div w:id="2027974648">
          <w:marLeft w:val="0"/>
          <w:marRight w:val="0"/>
          <w:marTop w:val="0"/>
          <w:marBottom w:val="0"/>
          <w:divBdr>
            <w:top w:val="none" w:sz="0" w:space="0" w:color="auto"/>
            <w:left w:val="none" w:sz="0" w:space="0" w:color="auto"/>
            <w:bottom w:val="none" w:sz="0" w:space="0" w:color="auto"/>
            <w:right w:val="none" w:sz="0" w:space="0" w:color="auto"/>
          </w:divBdr>
          <w:divsChild>
            <w:div w:id="1431926171">
              <w:marLeft w:val="0"/>
              <w:marRight w:val="0"/>
              <w:marTop w:val="0"/>
              <w:marBottom w:val="0"/>
              <w:divBdr>
                <w:top w:val="none" w:sz="0" w:space="0" w:color="auto"/>
                <w:left w:val="none" w:sz="0" w:space="0" w:color="auto"/>
                <w:bottom w:val="none" w:sz="0" w:space="0" w:color="auto"/>
                <w:right w:val="none" w:sz="0" w:space="0" w:color="auto"/>
              </w:divBdr>
            </w:div>
          </w:divsChild>
        </w:div>
        <w:div w:id="1531915894">
          <w:marLeft w:val="0"/>
          <w:marRight w:val="0"/>
          <w:marTop w:val="0"/>
          <w:marBottom w:val="0"/>
          <w:divBdr>
            <w:top w:val="none" w:sz="0" w:space="0" w:color="auto"/>
            <w:left w:val="none" w:sz="0" w:space="0" w:color="auto"/>
            <w:bottom w:val="none" w:sz="0" w:space="0" w:color="auto"/>
            <w:right w:val="none" w:sz="0" w:space="0" w:color="auto"/>
          </w:divBdr>
          <w:divsChild>
            <w:div w:id="572081956">
              <w:marLeft w:val="0"/>
              <w:marRight w:val="0"/>
              <w:marTop w:val="0"/>
              <w:marBottom w:val="0"/>
              <w:divBdr>
                <w:top w:val="none" w:sz="0" w:space="0" w:color="auto"/>
                <w:left w:val="none" w:sz="0" w:space="0" w:color="auto"/>
                <w:bottom w:val="none" w:sz="0" w:space="0" w:color="auto"/>
                <w:right w:val="none" w:sz="0" w:space="0" w:color="auto"/>
              </w:divBdr>
            </w:div>
          </w:divsChild>
        </w:div>
        <w:div w:id="2061200866">
          <w:marLeft w:val="0"/>
          <w:marRight w:val="0"/>
          <w:marTop w:val="0"/>
          <w:marBottom w:val="0"/>
          <w:divBdr>
            <w:top w:val="none" w:sz="0" w:space="0" w:color="auto"/>
            <w:left w:val="none" w:sz="0" w:space="0" w:color="auto"/>
            <w:bottom w:val="none" w:sz="0" w:space="0" w:color="auto"/>
            <w:right w:val="none" w:sz="0" w:space="0" w:color="auto"/>
          </w:divBdr>
          <w:divsChild>
            <w:div w:id="1100761179">
              <w:marLeft w:val="0"/>
              <w:marRight w:val="0"/>
              <w:marTop w:val="0"/>
              <w:marBottom w:val="0"/>
              <w:divBdr>
                <w:top w:val="none" w:sz="0" w:space="0" w:color="auto"/>
                <w:left w:val="none" w:sz="0" w:space="0" w:color="auto"/>
                <w:bottom w:val="none" w:sz="0" w:space="0" w:color="auto"/>
                <w:right w:val="none" w:sz="0" w:space="0" w:color="auto"/>
              </w:divBdr>
              <w:divsChild>
                <w:div w:id="552036250">
                  <w:marLeft w:val="0"/>
                  <w:marRight w:val="0"/>
                  <w:marTop w:val="0"/>
                  <w:marBottom w:val="0"/>
                  <w:divBdr>
                    <w:top w:val="none" w:sz="0" w:space="0" w:color="auto"/>
                    <w:left w:val="none" w:sz="0" w:space="0" w:color="auto"/>
                    <w:bottom w:val="none" w:sz="0" w:space="0" w:color="auto"/>
                    <w:right w:val="none" w:sz="0" w:space="0" w:color="auto"/>
                  </w:divBdr>
                  <w:divsChild>
                    <w:div w:id="1535652998">
                      <w:marLeft w:val="0"/>
                      <w:marRight w:val="0"/>
                      <w:marTop w:val="0"/>
                      <w:marBottom w:val="0"/>
                      <w:divBdr>
                        <w:top w:val="none" w:sz="0" w:space="0" w:color="auto"/>
                        <w:left w:val="none" w:sz="0" w:space="0" w:color="auto"/>
                        <w:bottom w:val="none" w:sz="0" w:space="0" w:color="auto"/>
                        <w:right w:val="none" w:sz="0" w:space="0" w:color="auto"/>
                      </w:divBdr>
                    </w:div>
                  </w:divsChild>
                </w:div>
                <w:div w:id="1354695428">
                  <w:marLeft w:val="0"/>
                  <w:marRight w:val="0"/>
                  <w:marTop w:val="0"/>
                  <w:marBottom w:val="0"/>
                  <w:divBdr>
                    <w:top w:val="none" w:sz="0" w:space="0" w:color="auto"/>
                    <w:left w:val="none" w:sz="0" w:space="0" w:color="auto"/>
                    <w:bottom w:val="none" w:sz="0" w:space="0" w:color="auto"/>
                    <w:right w:val="none" w:sz="0" w:space="0" w:color="auto"/>
                  </w:divBdr>
                  <w:divsChild>
                    <w:div w:id="1019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02367">
          <w:marLeft w:val="0"/>
          <w:marRight w:val="0"/>
          <w:marTop w:val="0"/>
          <w:marBottom w:val="0"/>
          <w:divBdr>
            <w:top w:val="none" w:sz="0" w:space="0" w:color="auto"/>
            <w:left w:val="none" w:sz="0" w:space="0" w:color="auto"/>
            <w:bottom w:val="none" w:sz="0" w:space="0" w:color="auto"/>
            <w:right w:val="none" w:sz="0" w:space="0" w:color="auto"/>
          </w:divBdr>
          <w:divsChild>
            <w:div w:id="6829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0602">
      <w:bodyDiv w:val="1"/>
      <w:marLeft w:val="0"/>
      <w:marRight w:val="0"/>
      <w:marTop w:val="0"/>
      <w:marBottom w:val="0"/>
      <w:divBdr>
        <w:top w:val="none" w:sz="0" w:space="0" w:color="auto"/>
        <w:left w:val="none" w:sz="0" w:space="0" w:color="auto"/>
        <w:bottom w:val="none" w:sz="0" w:space="0" w:color="auto"/>
        <w:right w:val="none" w:sz="0" w:space="0" w:color="auto"/>
      </w:divBdr>
      <w:divsChild>
        <w:div w:id="310839391">
          <w:marLeft w:val="0"/>
          <w:marRight w:val="0"/>
          <w:marTop w:val="0"/>
          <w:marBottom w:val="0"/>
          <w:divBdr>
            <w:top w:val="none" w:sz="0" w:space="0" w:color="auto"/>
            <w:left w:val="none" w:sz="0" w:space="0" w:color="auto"/>
            <w:bottom w:val="none" w:sz="0" w:space="0" w:color="auto"/>
            <w:right w:val="none" w:sz="0" w:space="0" w:color="auto"/>
          </w:divBdr>
        </w:div>
        <w:div w:id="2114669948">
          <w:marLeft w:val="0"/>
          <w:marRight w:val="0"/>
          <w:marTop w:val="0"/>
          <w:marBottom w:val="0"/>
          <w:divBdr>
            <w:top w:val="none" w:sz="0" w:space="0" w:color="auto"/>
            <w:left w:val="none" w:sz="0" w:space="0" w:color="auto"/>
            <w:bottom w:val="none" w:sz="0" w:space="0" w:color="auto"/>
            <w:right w:val="none" w:sz="0" w:space="0" w:color="auto"/>
          </w:divBdr>
          <w:divsChild>
            <w:div w:id="1985741624">
              <w:marLeft w:val="0"/>
              <w:marRight w:val="0"/>
              <w:marTop w:val="0"/>
              <w:marBottom w:val="0"/>
              <w:divBdr>
                <w:top w:val="none" w:sz="0" w:space="0" w:color="auto"/>
                <w:left w:val="none" w:sz="0" w:space="0" w:color="auto"/>
                <w:bottom w:val="none" w:sz="0" w:space="0" w:color="auto"/>
                <w:right w:val="none" w:sz="0" w:space="0" w:color="auto"/>
              </w:divBdr>
              <w:divsChild>
                <w:div w:id="557284233">
                  <w:marLeft w:val="0"/>
                  <w:marRight w:val="0"/>
                  <w:marTop w:val="0"/>
                  <w:marBottom w:val="0"/>
                  <w:divBdr>
                    <w:top w:val="none" w:sz="0" w:space="0" w:color="auto"/>
                    <w:left w:val="none" w:sz="0" w:space="0" w:color="auto"/>
                    <w:bottom w:val="none" w:sz="0" w:space="0" w:color="auto"/>
                    <w:right w:val="none" w:sz="0" w:space="0" w:color="auto"/>
                  </w:divBdr>
                  <w:divsChild>
                    <w:div w:id="1087187294">
                      <w:marLeft w:val="0"/>
                      <w:marRight w:val="0"/>
                      <w:marTop w:val="0"/>
                      <w:marBottom w:val="0"/>
                      <w:divBdr>
                        <w:top w:val="none" w:sz="0" w:space="0" w:color="auto"/>
                        <w:left w:val="none" w:sz="0" w:space="0" w:color="auto"/>
                        <w:bottom w:val="none" w:sz="0" w:space="0" w:color="auto"/>
                        <w:right w:val="none" w:sz="0" w:space="0" w:color="auto"/>
                      </w:divBdr>
                    </w:div>
                    <w:div w:id="285279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47154148">
      <w:bodyDiv w:val="1"/>
      <w:marLeft w:val="0"/>
      <w:marRight w:val="0"/>
      <w:marTop w:val="0"/>
      <w:marBottom w:val="0"/>
      <w:divBdr>
        <w:top w:val="none" w:sz="0" w:space="0" w:color="auto"/>
        <w:left w:val="none" w:sz="0" w:space="0" w:color="auto"/>
        <w:bottom w:val="none" w:sz="0" w:space="0" w:color="auto"/>
        <w:right w:val="none" w:sz="0" w:space="0" w:color="auto"/>
      </w:divBdr>
      <w:divsChild>
        <w:div w:id="1925917994">
          <w:marLeft w:val="0"/>
          <w:marRight w:val="0"/>
          <w:marTop w:val="0"/>
          <w:marBottom w:val="0"/>
          <w:divBdr>
            <w:top w:val="none" w:sz="0" w:space="0" w:color="auto"/>
            <w:left w:val="none" w:sz="0" w:space="0" w:color="auto"/>
            <w:bottom w:val="none" w:sz="0" w:space="0" w:color="auto"/>
            <w:right w:val="none" w:sz="0" w:space="0" w:color="auto"/>
          </w:divBdr>
        </w:div>
        <w:div w:id="1612857626">
          <w:marLeft w:val="0"/>
          <w:marRight w:val="0"/>
          <w:marTop w:val="0"/>
          <w:marBottom w:val="0"/>
          <w:divBdr>
            <w:top w:val="none" w:sz="0" w:space="0" w:color="auto"/>
            <w:left w:val="none" w:sz="0" w:space="0" w:color="auto"/>
            <w:bottom w:val="none" w:sz="0" w:space="0" w:color="auto"/>
            <w:right w:val="none" w:sz="0" w:space="0" w:color="auto"/>
          </w:divBdr>
          <w:divsChild>
            <w:div w:id="1271548765">
              <w:marLeft w:val="0"/>
              <w:marRight w:val="0"/>
              <w:marTop w:val="0"/>
              <w:marBottom w:val="0"/>
              <w:divBdr>
                <w:top w:val="none" w:sz="0" w:space="0" w:color="auto"/>
                <w:left w:val="none" w:sz="0" w:space="0" w:color="auto"/>
                <w:bottom w:val="none" w:sz="0" w:space="0" w:color="auto"/>
                <w:right w:val="none" w:sz="0" w:space="0" w:color="auto"/>
              </w:divBdr>
            </w:div>
          </w:divsChild>
        </w:div>
        <w:div w:id="1819036807">
          <w:marLeft w:val="0"/>
          <w:marRight w:val="0"/>
          <w:marTop w:val="0"/>
          <w:marBottom w:val="0"/>
          <w:divBdr>
            <w:top w:val="none" w:sz="0" w:space="0" w:color="auto"/>
            <w:left w:val="none" w:sz="0" w:space="0" w:color="auto"/>
            <w:bottom w:val="none" w:sz="0" w:space="0" w:color="auto"/>
            <w:right w:val="none" w:sz="0" w:space="0" w:color="auto"/>
          </w:divBdr>
          <w:divsChild>
            <w:div w:id="382600722">
              <w:marLeft w:val="0"/>
              <w:marRight w:val="0"/>
              <w:marTop w:val="0"/>
              <w:marBottom w:val="0"/>
              <w:divBdr>
                <w:top w:val="none" w:sz="0" w:space="0" w:color="auto"/>
                <w:left w:val="none" w:sz="0" w:space="0" w:color="auto"/>
                <w:bottom w:val="none" w:sz="0" w:space="0" w:color="auto"/>
                <w:right w:val="none" w:sz="0" w:space="0" w:color="auto"/>
              </w:divBdr>
            </w:div>
          </w:divsChild>
        </w:div>
        <w:div w:id="1944144971">
          <w:marLeft w:val="0"/>
          <w:marRight w:val="0"/>
          <w:marTop w:val="0"/>
          <w:marBottom w:val="0"/>
          <w:divBdr>
            <w:top w:val="none" w:sz="0" w:space="0" w:color="auto"/>
            <w:left w:val="none" w:sz="0" w:space="0" w:color="auto"/>
            <w:bottom w:val="none" w:sz="0" w:space="0" w:color="auto"/>
            <w:right w:val="none" w:sz="0" w:space="0" w:color="auto"/>
          </w:divBdr>
          <w:divsChild>
            <w:div w:id="498889118">
              <w:marLeft w:val="0"/>
              <w:marRight w:val="0"/>
              <w:marTop w:val="0"/>
              <w:marBottom w:val="0"/>
              <w:divBdr>
                <w:top w:val="none" w:sz="0" w:space="0" w:color="auto"/>
                <w:left w:val="none" w:sz="0" w:space="0" w:color="auto"/>
                <w:bottom w:val="none" w:sz="0" w:space="0" w:color="auto"/>
                <w:right w:val="none" w:sz="0" w:space="0" w:color="auto"/>
              </w:divBdr>
            </w:div>
          </w:divsChild>
        </w:div>
        <w:div w:id="1690642306">
          <w:marLeft w:val="0"/>
          <w:marRight w:val="0"/>
          <w:marTop w:val="0"/>
          <w:marBottom w:val="0"/>
          <w:divBdr>
            <w:top w:val="none" w:sz="0" w:space="0" w:color="auto"/>
            <w:left w:val="none" w:sz="0" w:space="0" w:color="auto"/>
            <w:bottom w:val="none" w:sz="0" w:space="0" w:color="auto"/>
            <w:right w:val="none" w:sz="0" w:space="0" w:color="auto"/>
          </w:divBdr>
          <w:divsChild>
            <w:div w:id="9272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4444">
      <w:bodyDiv w:val="1"/>
      <w:marLeft w:val="0"/>
      <w:marRight w:val="0"/>
      <w:marTop w:val="0"/>
      <w:marBottom w:val="0"/>
      <w:divBdr>
        <w:top w:val="none" w:sz="0" w:space="0" w:color="auto"/>
        <w:left w:val="none" w:sz="0" w:space="0" w:color="auto"/>
        <w:bottom w:val="none" w:sz="0" w:space="0" w:color="auto"/>
        <w:right w:val="none" w:sz="0" w:space="0" w:color="auto"/>
      </w:divBdr>
    </w:div>
    <w:div w:id="1169951773">
      <w:bodyDiv w:val="1"/>
      <w:marLeft w:val="0"/>
      <w:marRight w:val="0"/>
      <w:marTop w:val="0"/>
      <w:marBottom w:val="0"/>
      <w:divBdr>
        <w:top w:val="none" w:sz="0" w:space="0" w:color="auto"/>
        <w:left w:val="none" w:sz="0" w:space="0" w:color="auto"/>
        <w:bottom w:val="none" w:sz="0" w:space="0" w:color="auto"/>
        <w:right w:val="none" w:sz="0" w:space="0" w:color="auto"/>
      </w:divBdr>
      <w:divsChild>
        <w:div w:id="1719817397">
          <w:marLeft w:val="0"/>
          <w:marRight w:val="0"/>
          <w:marTop w:val="0"/>
          <w:marBottom w:val="0"/>
          <w:divBdr>
            <w:top w:val="none" w:sz="0" w:space="0" w:color="auto"/>
            <w:left w:val="none" w:sz="0" w:space="0" w:color="auto"/>
            <w:bottom w:val="none" w:sz="0" w:space="0" w:color="auto"/>
            <w:right w:val="none" w:sz="0" w:space="0" w:color="auto"/>
          </w:divBdr>
        </w:div>
        <w:div w:id="1356539375">
          <w:marLeft w:val="0"/>
          <w:marRight w:val="0"/>
          <w:marTop w:val="0"/>
          <w:marBottom w:val="0"/>
          <w:divBdr>
            <w:top w:val="none" w:sz="0" w:space="0" w:color="auto"/>
            <w:left w:val="none" w:sz="0" w:space="0" w:color="auto"/>
            <w:bottom w:val="none" w:sz="0" w:space="0" w:color="auto"/>
            <w:right w:val="none" w:sz="0" w:space="0" w:color="auto"/>
          </w:divBdr>
          <w:divsChild>
            <w:div w:id="1120951775">
              <w:marLeft w:val="0"/>
              <w:marRight w:val="0"/>
              <w:marTop w:val="0"/>
              <w:marBottom w:val="0"/>
              <w:divBdr>
                <w:top w:val="none" w:sz="0" w:space="0" w:color="auto"/>
                <w:left w:val="none" w:sz="0" w:space="0" w:color="auto"/>
                <w:bottom w:val="none" w:sz="0" w:space="0" w:color="auto"/>
                <w:right w:val="none" w:sz="0" w:space="0" w:color="auto"/>
              </w:divBdr>
              <w:divsChild>
                <w:div w:id="125513406">
                  <w:marLeft w:val="0"/>
                  <w:marRight w:val="0"/>
                  <w:marTop w:val="0"/>
                  <w:marBottom w:val="0"/>
                  <w:divBdr>
                    <w:top w:val="none" w:sz="0" w:space="0" w:color="auto"/>
                    <w:left w:val="none" w:sz="0" w:space="0" w:color="auto"/>
                    <w:bottom w:val="none" w:sz="0" w:space="0" w:color="auto"/>
                    <w:right w:val="none" w:sz="0" w:space="0" w:color="auto"/>
                  </w:divBdr>
                  <w:divsChild>
                    <w:div w:id="16714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5093">
      <w:bodyDiv w:val="1"/>
      <w:marLeft w:val="0"/>
      <w:marRight w:val="0"/>
      <w:marTop w:val="0"/>
      <w:marBottom w:val="0"/>
      <w:divBdr>
        <w:top w:val="none" w:sz="0" w:space="0" w:color="auto"/>
        <w:left w:val="none" w:sz="0" w:space="0" w:color="auto"/>
        <w:bottom w:val="none" w:sz="0" w:space="0" w:color="auto"/>
        <w:right w:val="none" w:sz="0" w:space="0" w:color="auto"/>
      </w:divBdr>
    </w:div>
    <w:div w:id="1390375028">
      <w:bodyDiv w:val="1"/>
      <w:marLeft w:val="0"/>
      <w:marRight w:val="0"/>
      <w:marTop w:val="0"/>
      <w:marBottom w:val="0"/>
      <w:divBdr>
        <w:top w:val="none" w:sz="0" w:space="0" w:color="auto"/>
        <w:left w:val="none" w:sz="0" w:space="0" w:color="auto"/>
        <w:bottom w:val="none" w:sz="0" w:space="0" w:color="auto"/>
        <w:right w:val="none" w:sz="0" w:space="0" w:color="auto"/>
      </w:divBdr>
    </w:div>
    <w:div w:id="1583562485">
      <w:bodyDiv w:val="1"/>
      <w:marLeft w:val="0"/>
      <w:marRight w:val="0"/>
      <w:marTop w:val="0"/>
      <w:marBottom w:val="0"/>
      <w:divBdr>
        <w:top w:val="none" w:sz="0" w:space="0" w:color="auto"/>
        <w:left w:val="none" w:sz="0" w:space="0" w:color="auto"/>
        <w:bottom w:val="none" w:sz="0" w:space="0" w:color="auto"/>
        <w:right w:val="none" w:sz="0" w:space="0" w:color="auto"/>
      </w:divBdr>
      <w:divsChild>
        <w:div w:id="454099636">
          <w:marLeft w:val="0"/>
          <w:marRight w:val="0"/>
          <w:marTop w:val="0"/>
          <w:marBottom w:val="0"/>
          <w:divBdr>
            <w:top w:val="none" w:sz="0" w:space="0" w:color="auto"/>
            <w:left w:val="none" w:sz="0" w:space="0" w:color="auto"/>
            <w:bottom w:val="none" w:sz="0" w:space="0" w:color="auto"/>
            <w:right w:val="none" w:sz="0" w:space="0" w:color="auto"/>
          </w:divBdr>
        </w:div>
        <w:div w:id="690380248">
          <w:marLeft w:val="0"/>
          <w:marRight w:val="0"/>
          <w:marTop w:val="0"/>
          <w:marBottom w:val="0"/>
          <w:divBdr>
            <w:top w:val="none" w:sz="0" w:space="0" w:color="auto"/>
            <w:left w:val="none" w:sz="0" w:space="0" w:color="auto"/>
            <w:bottom w:val="none" w:sz="0" w:space="0" w:color="auto"/>
            <w:right w:val="none" w:sz="0" w:space="0" w:color="auto"/>
          </w:divBdr>
        </w:div>
        <w:div w:id="106306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25024948&amp;idArticle=LEGIARTI000025025657&amp;dateTexte=&amp;categorieLien=ci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com.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2233</Words>
  <Characters>12287</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 Geronimi</dc:creator>
  <cp:lastModifiedBy>Amaya GERONIMI</cp:lastModifiedBy>
  <cp:revision>2</cp:revision>
  <dcterms:created xsi:type="dcterms:W3CDTF">2018-01-28T19:40:00Z</dcterms:created>
  <dcterms:modified xsi:type="dcterms:W3CDTF">2018-01-28T19:40:00Z</dcterms:modified>
</cp:coreProperties>
</file>